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bCs w:val="0"/>
          <w:color w:val="auto"/>
          <w:sz w:val="24"/>
          <w:szCs w:val="22"/>
        </w:rPr>
      </w:sdtEndPr>
      <w:sdtContent>
        <w:p w14:paraId="7C06A629" w14:textId="1B829531" w:rsidR="008F2A8A" w:rsidRPr="007B2A67"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sidRPr="007B2A67">
            <w:rPr>
              <w:rFonts w:ascii="Arial" w:hAnsi="Arial" w:cs="Arial"/>
              <w:noProof/>
              <w:color w:val="2F5897" w:themeColor="text2"/>
              <w:sz w:val="96"/>
              <w:lang w:eastAsia="en-AU"/>
              <w14:ligatures w14:val="none"/>
              <w14:cntxtAlts w14:val="0"/>
            </w:rPr>
            <w:drawing>
              <wp:anchor distT="0" distB="0" distL="114300" distR="114300" simplePos="0" relativeHeight="251662336"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Pr="007B2A67"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Pr="007B2A67" w:rsidRDefault="00951E43" w:rsidP="008F2A8A">
          <w:pPr>
            <w:pStyle w:val="Title"/>
            <w:rPr>
              <w:rFonts w:ascii="Arial" w:hAnsi="Arial" w:cs="Arial"/>
              <w:color w:val="002060"/>
            </w:rPr>
          </w:pPr>
        </w:p>
        <w:p w14:paraId="501CFEB3" w14:textId="6911084B" w:rsidR="00951E43" w:rsidRPr="007B2A67" w:rsidRDefault="00BA585C" w:rsidP="0040042E">
          <w:pPr>
            <w:pStyle w:val="Heading3"/>
            <w:rPr>
              <w:rFonts w:ascii="Arial" w:hAnsi="Arial" w:cs="Arial"/>
              <w:b w:val="0"/>
              <w:bCs w:val="0"/>
              <w:color w:val="002060"/>
              <w:spacing w:val="5"/>
              <w:kern w:val="28"/>
              <w:sz w:val="56"/>
              <w:szCs w:val="56"/>
              <w14:ligatures w14:val="standardContextual"/>
              <w14:cntxtAlts/>
            </w:rPr>
          </w:pPr>
          <w:r w:rsidRPr="00BA585C">
            <w:rPr>
              <w:rFonts w:ascii="Arial" w:hAnsi="Arial" w:cs="Arial"/>
              <w:b w:val="0"/>
              <w:bCs w:val="0"/>
              <w:color w:val="002060"/>
              <w:spacing w:val="5"/>
              <w:kern w:val="28"/>
              <w:sz w:val="56"/>
              <w:szCs w:val="56"/>
              <w14:ligatures w14:val="standardContextual"/>
              <w14:cntxtAlts/>
            </w:rPr>
            <w:t>Performance Management</w:t>
          </w:r>
          <w:r>
            <w:rPr>
              <w:rFonts w:ascii="Arial" w:hAnsi="Arial" w:cs="Arial"/>
              <w:b w:val="0"/>
              <w:bCs w:val="0"/>
              <w:color w:val="002060"/>
              <w:spacing w:val="5"/>
              <w:kern w:val="28"/>
              <w:sz w:val="56"/>
              <w:szCs w:val="56"/>
              <w14:ligatures w14:val="standardContextual"/>
              <w14:cntxtAlts/>
            </w:rPr>
            <w:t xml:space="preserve"> </w:t>
          </w:r>
          <w:r w:rsidR="00147BB5" w:rsidRPr="007B2A67">
            <w:rPr>
              <w:rFonts w:ascii="Arial" w:hAnsi="Arial" w:cs="Arial"/>
              <w:b w:val="0"/>
              <w:bCs w:val="0"/>
              <w:color w:val="002060"/>
              <w:spacing w:val="5"/>
              <w:kern w:val="28"/>
              <w:sz w:val="56"/>
              <w:szCs w:val="56"/>
              <w14:ligatures w14:val="standardContextual"/>
              <w14:cntxtAlts/>
            </w:rPr>
            <w:t>Policy</w:t>
          </w:r>
        </w:p>
        <w:p w14:paraId="04AAD0C7" w14:textId="77777777" w:rsidR="00147BB5" w:rsidRPr="007B2A67" w:rsidRDefault="00147BB5" w:rsidP="00147BB5">
          <w:pPr>
            <w:rPr>
              <w:rFonts w:ascii="Arial" w:hAnsi="Arial" w:cs="Arial"/>
            </w:rPr>
          </w:pPr>
        </w:p>
        <w:p w14:paraId="221DD947" w14:textId="7B06D4C2" w:rsidR="00B91A11" w:rsidRPr="007B2A67" w:rsidRDefault="00B91A11" w:rsidP="0040042E">
          <w:pPr>
            <w:pStyle w:val="Heading3"/>
            <w:rPr>
              <w:rFonts w:ascii="Arial" w:hAnsi="Arial" w:cs="Arial"/>
            </w:rPr>
          </w:pPr>
          <w:r w:rsidRPr="007B2A67">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7B2A67" w14:paraId="65AB3EE6" w14:textId="77777777" w:rsidTr="00E54F5A">
            <w:trPr>
              <w:trHeight w:val="510"/>
              <w:jc w:val="center"/>
            </w:trPr>
            <w:tc>
              <w:tcPr>
                <w:tcW w:w="2358" w:type="dxa"/>
                <w:tcBorders>
                  <w:left w:val="single" w:sz="4" w:space="0" w:color="auto"/>
                </w:tcBorders>
                <w:vAlign w:val="center"/>
              </w:tcPr>
              <w:p w14:paraId="6E253EEC" w14:textId="77777777" w:rsidR="002D3ECD" w:rsidRPr="007B2A67" w:rsidRDefault="002D3ECD" w:rsidP="009A6DC9">
                <w:pPr>
                  <w:pStyle w:val="TableHeading"/>
                  <w:rPr>
                    <w:rFonts w:ascii="Arial" w:hAnsi="Arial" w:cs="Arial"/>
                  </w:rPr>
                </w:pPr>
                <w:r w:rsidRPr="007B2A67">
                  <w:rPr>
                    <w:rFonts w:ascii="Arial" w:hAnsi="Arial" w:cs="Arial"/>
                  </w:rPr>
                  <w:t>Policy Title:</w:t>
                </w:r>
              </w:p>
            </w:tc>
            <w:tc>
              <w:tcPr>
                <w:tcW w:w="7385" w:type="dxa"/>
                <w:gridSpan w:val="3"/>
                <w:tcBorders>
                  <w:right w:val="single" w:sz="4" w:space="0" w:color="auto"/>
                </w:tcBorders>
                <w:vAlign w:val="center"/>
              </w:tcPr>
              <w:p w14:paraId="25EBE48A" w14:textId="77777777" w:rsidR="002D3ECD" w:rsidRPr="007B2A67" w:rsidRDefault="002D3ECD" w:rsidP="00F010A3">
                <w:pPr>
                  <w:pStyle w:val="TableText"/>
                  <w:rPr>
                    <w:rFonts w:ascii="Arial" w:hAnsi="Arial" w:cs="Arial"/>
                  </w:rPr>
                </w:pPr>
              </w:p>
            </w:tc>
          </w:tr>
          <w:tr w:rsidR="00214AAE" w:rsidRPr="007B2A67" w14:paraId="2CF200DE" w14:textId="77777777" w:rsidTr="00E54F5A">
            <w:trPr>
              <w:trHeight w:val="510"/>
              <w:jc w:val="center"/>
            </w:trPr>
            <w:tc>
              <w:tcPr>
                <w:tcW w:w="2358" w:type="dxa"/>
                <w:tcBorders>
                  <w:left w:val="single" w:sz="4" w:space="0" w:color="auto"/>
                </w:tcBorders>
                <w:vAlign w:val="center"/>
              </w:tcPr>
              <w:p w14:paraId="7598E34E" w14:textId="77777777" w:rsidR="00214AAE" w:rsidRPr="007B2A67" w:rsidRDefault="00214AAE" w:rsidP="009A6DC9">
                <w:pPr>
                  <w:pStyle w:val="TableHeading"/>
                  <w:rPr>
                    <w:rFonts w:ascii="Arial" w:hAnsi="Arial" w:cs="Arial"/>
                  </w:rPr>
                </w:pPr>
                <w:r w:rsidRPr="007B2A67">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7B2A67" w:rsidRDefault="00214AAE" w:rsidP="00F010A3">
                <w:pPr>
                  <w:pStyle w:val="TableText"/>
                  <w:rPr>
                    <w:rFonts w:ascii="Arial" w:hAnsi="Arial" w:cs="Arial"/>
                  </w:rPr>
                </w:pPr>
              </w:p>
            </w:tc>
          </w:tr>
          <w:tr w:rsidR="00B91A11" w:rsidRPr="007B2A67" w14:paraId="7094AD5F" w14:textId="77777777" w:rsidTr="00E54F5A">
            <w:trPr>
              <w:trHeight w:val="510"/>
              <w:jc w:val="center"/>
            </w:trPr>
            <w:tc>
              <w:tcPr>
                <w:tcW w:w="2358" w:type="dxa"/>
                <w:tcBorders>
                  <w:left w:val="single" w:sz="4" w:space="0" w:color="auto"/>
                </w:tcBorders>
                <w:vAlign w:val="center"/>
              </w:tcPr>
              <w:p w14:paraId="5B1808AF" w14:textId="77777777" w:rsidR="002D3ECD" w:rsidRPr="007B2A67" w:rsidRDefault="002D3ECD" w:rsidP="009A6DC9">
                <w:pPr>
                  <w:pStyle w:val="TableHeading"/>
                  <w:rPr>
                    <w:rFonts w:ascii="Arial" w:hAnsi="Arial" w:cs="Arial"/>
                  </w:rPr>
                </w:pPr>
                <w:r w:rsidRPr="007B2A67">
                  <w:rPr>
                    <w:rFonts w:ascii="Arial" w:hAnsi="Arial" w:cs="Arial"/>
                  </w:rPr>
                  <w:t>Date Ratified:</w:t>
                </w:r>
              </w:p>
            </w:tc>
            <w:tc>
              <w:tcPr>
                <w:tcW w:w="2455" w:type="dxa"/>
                <w:vAlign w:val="center"/>
              </w:tcPr>
              <w:p w14:paraId="4411F8B7" w14:textId="77777777" w:rsidR="002D3ECD" w:rsidRPr="007B2A67" w:rsidRDefault="002D3ECD" w:rsidP="00814BC7">
                <w:pPr>
                  <w:pStyle w:val="TableText"/>
                  <w:rPr>
                    <w:rFonts w:ascii="Arial" w:hAnsi="Arial" w:cs="Arial"/>
                  </w:rPr>
                </w:pPr>
              </w:p>
            </w:tc>
            <w:tc>
              <w:tcPr>
                <w:tcW w:w="2475" w:type="dxa"/>
                <w:vAlign w:val="center"/>
              </w:tcPr>
              <w:p w14:paraId="007F67D7" w14:textId="77777777" w:rsidR="002D3ECD" w:rsidRPr="007B2A67" w:rsidRDefault="002D3ECD" w:rsidP="00F010A3">
                <w:pPr>
                  <w:pStyle w:val="TableHeading"/>
                  <w:rPr>
                    <w:rFonts w:ascii="Arial" w:hAnsi="Arial" w:cs="Arial"/>
                  </w:rPr>
                </w:pPr>
                <w:r w:rsidRPr="007B2A67">
                  <w:rPr>
                    <w:rFonts w:ascii="Arial" w:hAnsi="Arial" w:cs="Arial"/>
                  </w:rPr>
                  <w:t>Review Date:</w:t>
                </w:r>
              </w:p>
            </w:tc>
            <w:tc>
              <w:tcPr>
                <w:tcW w:w="2455" w:type="dxa"/>
                <w:tcBorders>
                  <w:right w:val="single" w:sz="4" w:space="0" w:color="auto"/>
                </w:tcBorders>
                <w:vAlign w:val="center"/>
              </w:tcPr>
              <w:p w14:paraId="32BF510A" w14:textId="77777777" w:rsidR="002D3ECD" w:rsidRPr="007B2A67" w:rsidRDefault="002D3ECD" w:rsidP="00F010A3">
                <w:pPr>
                  <w:pStyle w:val="TableText"/>
                  <w:rPr>
                    <w:rFonts w:ascii="Arial" w:hAnsi="Arial" w:cs="Arial"/>
                  </w:rPr>
                </w:pPr>
              </w:p>
            </w:tc>
          </w:tr>
        </w:tbl>
        <w:p w14:paraId="7FD23DF0" w14:textId="77777777" w:rsidR="00E54F5A" w:rsidRPr="007B2A67" w:rsidRDefault="00E54F5A" w:rsidP="00E54F5A">
          <w:pPr>
            <w:rPr>
              <w:rFonts w:ascii="Arial" w:hAnsi="Arial" w:cs="Arial"/>
              <w:color w:val="FF0000"/>
            </w:rPr>
          </w:pPr>
          <w:bookmarkStart w:id="0" w:name="_Toc523148719"/>
        </w:p>
        <w:p w14:paraId="35149374" w14:textId="77777777" w:rsidR="00A72CEB" w:rsidRPr="00A72CEB" w:rsidRDefault="00A72CEB" w:rsidP="00A72CEB">
          <w:pPr>
            <w:pStyle w:val="Guidance"/>
            <w:rPr>
              <w:rFonts w:cs="Arial"/>
              <w:i/>
              <w:iCs/>
              <w:color w:val="0070C0"/>
            </w:rPr>
          </w:pPr>
          <w:r w:rsidRPr="00A72CEB">
            <w:rPr>
              <w:rFonts w:cs="Arial"/>
              <w:i/>
              <w:iCs/>
              <w:color w:val="0070C0"/>
            </w:rPr>
            <w:t>Guidance: Undertaking performance management once or twice a year is enough if the lines of communication and feedback between management and employees are working reasonably well.</w:t>
          </w:r>
        </w:p>
        <w:p w14:paraId="71698D19" w14:textId="77777777" w:rsidR="00A72CEB" w:rsidRPr="00A72CEB" w:rsidRDefault="00A72CEB" w:rsidP="004D4124">
          <w:pPr>
            <w:pStyle w:val="Heading2"/>
          </w:pPr>
          <w:r w:rsidRPr="00A72CEB">
            <w:t>Policy</w:t>
          </w:r>
        </w:p>
        <w:p w14:paraId="7956EE9E" w14:textId="77777777" w:rsidR="00A72CEB" w:rsidRPr="00A72CEB" w:rsidRDefault="00A72CEB" w:rsidP="00A72CEB">
          <w:pPr>
            <w:rPr>
              <w:rFonts w:ascii="Arial" w:hAnsi="Arial" w:cs="Arial"/>
            </w:rPr>
          </w:pPr>
          <w:r w:rsidRPr="00A72CEB">
            <w:rPr>
              <w:rFonts w:ascii="Arial" w:hAnsi="Arial" w:cs="Arial"/>
            </w:rPr>
            <w:t xml:space="preserve">The purpose of performance management is to improve performance. It is an ongoing process. It should include informal and formal review. We encourage a two-way process, that is, employees can also give management feedback on performance. </w:t>
          </w:r>
        </w:p>
        <w:p w14:paraId="170D0B07" w14:textId="77777777" w:rsidR="00A72CEB" w:rsidRPr="00A72CEB" w:rsidRDefault="00A72CEB" w:rsidP="00A72CEB">
          <w:pPr>
            <w:rPr>
              <w:rFonts w:ascii="Arial" w:hAnsi="Arial" w:cs="Arial"/>
            </w:rPr>
          </w:pPr>
          <w:r w:rsidRPr="00A72CEB">
            <w:rPr>
              <w:rFonts w:ascii="Arial" w:hAnsi="Arial" w:cs="Arial"/>
            </w:rPr>
            <w:t>All employees will undergo a formal performance review with their immediate managers at least {X} times a year.</w:t>
          </w:r>
        </w:p>
        <w:p w14:paraId="6A6CC71C" w14:textId="77777777" w:rsidR="00A72CEB" w:rsidRPr="00A72CEB" w:rsidRDefault="00A72CEB" w:rsidP="004D4124">
          <w:pPr>
            <w:pStyle w:val="Heading2"/>
          </w:pPr>
          <w:r w:rsidRPr="00A72CEB">
            <w:t>Procedure</w:t>
          </w:r>
        </w:p>
        <w:p w14:paraId="6A1F6685" w14:textId="77777777" w:rsidR="00A72CEB" w:rsidRPr="00A72CEB" w:rsidRDefault="00A72CEB" w:rsidP="00A72CEB">
          <w:pPr>
            <w:numPr>
              <w:ilvl w:val="0"/>
              <w:numId w:val="49"/>
            </w:numPr>
            <w:spacing w:before="120" w:after="0" w:line="360" w:lineRule="auto"/>
            <w:rPr>
              <w:rFonts w:ascii="Arial" w:hAnsi="Arial" w:cs="Arial"/>
            </w:rPr>
          </w:pPr>
          <w:r w:rsidRPr="00A72CEB">
            <w:rPr>
              <w:rFonts w:ascii="Arial" w:hAnsi="Arial" w:cs="Arial"/>
            </w:rPr>
            <w:t>The manager and the employee agree on the date for a performance appraisal meeting to allow time to prepare.</w:t>
          </w:r>
        </w:p>
        <w:p w14:paraId="51ACE4FE" w14:textId="77777777" w:rsidR="00A72CEB" w:rsidRPr="00A72CEB" w:rsidRDefault="00A72CEB" w:rsidP="00A72CEB">
          <w:pPr>
            <w:numPr>
              <w:ilvl w:val="0"/>
              <w:numId w:val="49"/>
            </w:numPr>
            <w:spacing w:before="120" w:after="0" w:line="360" w:lineRule="auto"/>
            <w:rPr>
              <w:rFonts w:ascii="Arial" w:hAnsi="Arial" w:cs="Arial"/>
            </w:rPr>
          </w:pPr>
          <w:r w:rsidRPr="00A72CEB">
            <w:rPr>
              <w:rFonts w:ascii="Arial" w:hAnsi="Arial" w:cs="Arial"/>
            </w:rPr>
            <w:t>The manager and employee will meet and openly and constructively discuss performance over the period.</w:t>
          </w:r>
        </w:p>
        <w:p w14:paraId="70D9B498" w14:textId="77777777" w:rsidR="00A72CEB" w:rsidRPr="00A72CEB" w:rsidRDefault="00A72CEB" w:rsidP="00A72CEB">
          <w:pPr>
            <w:numPr>
              <w:ilvl w:val="0"/>
              <w:numId w:val="49"/>
            </w:numPr>
            <w:spacing w:before="120" w:after="0" w:line="360" w:lineRule="auto"/>
            <w:rPr>
              <w:rFonts w:ascii="Arial" w:hAnsi="Arial" w:cs="Arial"/>
            </w:rPr>
          </w:pPr>
          <w:r w:rsidRPr="00A72CEB">
            <w:rPr>
              <w:rFonts w:ascii="Arial" w:hAnsi="Arial" w:cs="Arial"/>
            </w:rPr>
            <w:t xml:space="preserve">The manager and the employee will agree any objectives and outcomes for the next appraisal period. </w:t>
          </w:r>
        </w:p>
        <w:p w14:paraId="6AF220A1" w14:textId="77777777" w:rsidR="00A72CEB" w:rsidRPr="00A72CEB" w:rsidRDefault="00A72CEB" w:rsidP="00A72CEB">
          <w:pPr>
            <w:numPr>
              <w:ilvl w:val="0"/>
              <w:numId w:val="49"/>
            </w:numPr>
            <w:spacing w:before="120" w:after="0" w:line="360" w:lineRule="auto"/>
            <w:rPr>
              <w:rFonts w:ascii="Arial" w:hAnsi="Arial" w:cs="Arial"/>
            </w:rPr>
          </w:pPr>
          <w:r w:rsidRPr="00A72CEB">
            <w:rPr>
              <w:rFonts w:ascii="Arial" w:hAnsi="Arial" w:cs="Arial"/>
            </w:rPr>
            <w:t>Training and development will be considered as part of the process.</w:t>
          </w:r>
        </w:p>
        <w:p w14:paraId="65DAB29A" w14:textId="77777777" w:rsidR="00A72CEB" w:rsidRPr="00A72CEB" w:rsidRDefault="00A72CEB" w:rsidP="00A72CEB">
          <w:pPr>
            <w:numPr>
              <w:ilvl w:val="0"/>
              <w:numId w:val="49"/>
            </w:numPr>
            <w:spacing w:before="120" w:after="0" w:line="360" w:lineRule="auto"/>
            <w:rPr>
              <w:rFonts w:ascii="Arial" w:hAnsi="Arial" w:cs="Arial"/>
            </w:rPr>
          </w:pPr>
          <w:r w:rsidRPr="00A72CEB">
            <w:rPr>
              <w:rFonts w:ascii="Arial" w:hAnsi="Arial" w:cs="Arial"/>
            </w:rPr>
            <w:t>Notes should be taken of the meeting and copies kept.</w:t>
          </w:r>
        </w:p>
        <w:p w14:paraId="1202B05D" w14:textId="77777777" w:rsidR="00A72CEB" w:rsidRDefault="00A72CEB" w:rsidP="00A72CEB">
          <w:pPr>
            <w:numPr>
              <w:ilvl w:val="0"/>
              <w:numId w:val="49"/>
            </w:numPr>
            <w:spacing w:before="120" w:after="0" w:line="360" w:lineRule="auto"/>
            <w:rPr>
              <w:rFonts w:ascii="Arial" w:hAnsi="Arial" w:cs="Arial"/>
            </w:rPr>
          </w:pPr>
          <w:r w:rsidRPr="00A72CEB">
            <w:rPr>
              <w:rFonts w:ascii="Arial" w:hAnsi="Arial" w:cs="Arial"/>
            </w:rPr>
            <w:lastRenderedPageBreak/>
            <w:t>Outside of this formal process, employees are encouraged to raise any issues they have when they arise.</w:t>
          </w:r>
        </w:p>
        <w:p w14:paraId="1AA04092" w14:textId="77777777" w:rsidR="004D4124" w:rsidRPr="00A72CEB" w:rsidRDefault="004D4124" w:rsidP="004D4124">
          <w:pPr>
            <w:spacing w:before="120" w:after="0" w:line="360" w:lineRule="auto"/>
            <w:ind w:left="360"/>
            <w:rPr>
              <w:rFonts w:ascii="Arial" w:hAnsi="Arial" w:cs="Arial"/>
            </w:rPr>
          </w:pPr>
        </w:p>
        <w:p w14:paraId="0C34A147" w14:textId="77777777" w:rsidR="00A72CEB" w:rsidRPr="004D4124" w:rsidRDefault="00A72CEB" w:rsidP="004D4124">
          <w:pPr>
            <w:pStyle w:val="Heading2"/>
          </w:pPr>
          <w:bookmarkStart w:id="1" w:name="_Toc405189439"/>
          <w:r w:rsidRPr="004D4124">
            <w:t>Performance improvement</w:t>
          </w:r>
          <w:bookmarkEnd w:id="1"/>
        </w:p>
        <w:p w14:paraId="10C311BB" w14:textId="77777777" w:rsidR="004D4124" w:rsidRPr="004D4124" w:rsidRDefault="004D4124" w:rsidP="004D4124"/>
        <w:p w14:paraId="5A1BCAD4" w14:textId="77777777" w:rsidR="00A72CEB" w:rsidRPr="00A72CEB" w:rsidRDefault="00A72CEB" w:rsidP="004D4124">
          <w:pPr>
            <w:pStyle w:val="Heading2"/>
          </w:pPr>
          <w:r w:rsidRPr="00A72CEB">
            <w:t xml:space="preserve">Policy </w:t>
          </w:r>
        </w:p>
        <w:p w14:paraId="7740FD08" w14:textId="77777777" w:rsidR="00A72CEB" w:rsidRPr="004D4124" w:rsidRDefault="00A72CEB" w:rsidP="00A72CEB">
          <w:pPr>
            <w:pStyle w:val="Guidance"/>
            <w:rPr>
              <w:rFonts w:cs="Arial"/>
              <w:i/>
              <w:iCs/>
              <w:color w:val="0070C0"/>
            </w:rPr>
          </w:pPr>
          <w:r w:rsidRPr="004D4124">
            <w:rPr>
              <w:rFonts w:cs="Arial"/>
              <w:i/>
              <w:iCs/>
              <w:color w:val="0070C0"/>
            </w:rPr>
            <w:t xml:space="preserve">Guidance: Make sure you follow the procedures set by industrial law, awards, or employment or workplace agreements that apply in your workplace. </w:t>
          </w:r>
        </w:p>
        <w:p w14:paraId="133809D4" w14:textId="77777777" w:rsidR="00A72CEB" w:rsidRPr="004D4124" w:rsidRDefault="00A72CEB" w:rsidP="00A72CEB">
          <w:pPr>
            <w:pStyle w:val="Guidance"/>
            <w:rPr>
              <w:rFonts w:cs="Arial"/>
              <w:i/>
              <w:iCs/>
              <w:color w:val="0070C0"/>
            </w:rPr>
          </w:pPr>
          <w:r w:rsidRPr="004D4124">
            <w:rPr>
              <w:rFonts w:cs="Arial"/>
              <w:i/>
              <w:iCs/>
              <w:color w:val="0070C0"/>
            </w:rPr>
            <w:t>A performance improvement policy needs to promote a fair process using a robust procedure. Managers should know their role and be able to respond quickly. It should be clear who has the power to end an employee’s employment. You also need to make sure employees know the process. This is an area where good note taking is crucial. If there is a legal dispute, your legal representative will ask you for your notes when they prepare their case.</w:t>
          </w:r>
        </w:p>
        <w:p w14:paraId="67DDCF79" w14:textId="77777777" w:rsidR="00A72CEB" w:rsidRPr="004D4124" w:rsidRDefault="00A72CEB" w:rsidP="00A72CEB">
          <w:pPr>
            <w:pStyle w:val="Guidance"/>
            <w:rPr>
              <w:rFonts w:cs="Arial"/>
              <w:i/>
              <w:iCs/>
              <w:color w:val="0070C0"/>
            </w:rPr>
          </w:pPr>
          <w:r w:rsidRPr="004D4124">
            <w:rPr>
              <w:rFonts w:cs="Arial"/>
              <w:i/>
              <w:iCs/>
              <w:color w:val="0070C0"/>
            </w:rPr>
            <w:t>This is also an area where you will need to consider your obligations under the Equal Opportunity Act. Where relevant, you need to consider whether reasonable adjustments can be made to allow people with a disability to work safely and productively.</w:t>
          </w:r>
        </w:p>
        <w:p w14:paraId="54CAA188" w14:textId="77777777" w:rsidR="004D4124" w:rsidRDefault="004D4124" w:rsidP="00A72CEB">
          <w:pPr>
            <w:rPr>
              <w:rFonts w:ascii="Arial" w:hAnsi="Arial" w:cs="Arial"/>
              <w:color w:val="FF0000"/>
            </w:rPr>
          </w:pPr>
        </w:p>
        <w:p w14:paraId="436D3D68" w14:textId="196BB9FB" w:rsidR="00A72CEB" w:rsidRPr="00A72CEB" w:rsidRDefault="00A72CEB" w:rsidP="00A72CEB">
          <w:pPr>
            <w:rPr>
              <w:rFonts w:ascii="Arial" w:hAnsi="Arial" w:cs="Arial"/>
              <w:color w:val="FF0000"/>
            </w:rPr>
          </w:pPr>
          <w:r w:rsidRPr="00A72CEB">
            <w:rPr>
              <w:rFonts w:ascii="Arial" w:hAnsi="Arial" w:cs="Arial"/>
              <w:color w:val="FF0000"/>
            </w:rPr>
            <w:t>For signatories to the NHACE 2016</w:t>
          </w:r>
          <w:r w:rsidR="004D4124">
            <w:rPr>
              <w:rFonts w:ascii="Arial" w:hAnsi="Arial" w:cs="Arial"/>
              <w:color w:val="FF0000"/>
            </w:rPr>
            <w:t>,</w:t>
          </w:r>
          <w:r w:rsidRPr="00A72CEB">
            <w:rPr>
              <w:rFonts w:ascii="Arial" w:hAnsi="Arial" w:cs="Arial"/>
              <w:color w:val="FF0000"/>
            </w:rPr>
            <w:t xml:space="preserve"> 2018</w:t>
          </w:r>
          <w:r w:rsidR="004D4124">
            <w:rPr>
              <w:rFonts w:ascii="Arial" w:hAnsi="Arial" w:cs="Arial"/>
              <w:color w:val="FF0000"/>
            </w:rPr>
            <w:t xml:space="preserve"> and 2024</w:t>
          </w:r>
          <w:r w:rsidRPr="00A72CEB">
            <w:rPr>
              <w:rFonts w:ascii="Arial" w:hAnsi="Arial" w:cs="Arial"/>
              <w:color w:val="FF0000"/>
            </w:rPr>
            <w:t>, please read in conjunction with clause 10 of the agreement.</w:t>
          </w:r>
        </w:p>
        <w:p w14:paraId="50D9A090" w14:textId="77777777" w:rsidR="00A72CEB" w:rsidRPr="00A72CEB" w:rsidRDefault="00A72CEB" w:rsidP="00A72CEB">
          <w:pPr>
            <w:pStyle w:val="Guidance"/>
            <w:rPr>
              <w:rFonts w:cs="Arial"/>
            </w:rPr>
          </w:pPr>
        </w:p>
        <w:p w14:paraId="47F18FBA" w14:textId="18542C17" w:rsidR="00A72CEB" w:rsidRPr="00A72CEB" w:rsidRDefault="00A72CEB" w:rsidP="00A72CEB">
          <w:pPr>
            <w:rPr>
              <w:rFonts w:ascii="Arial" w:hAnsi="Arial" w:cs="Arial"/>
            </w:rPr>
          </w:pPr>
          <w:r w:rsidRPr="00A72CEB">
            <w:rPr>
              <w:rFonts w:ascii="Arial" w:hAnsi="Arial" w:cs="Arial"/>
            </w:rPr>
            <w:t xml:space="preserve">Where warranted </w:t>
          </w:r>
          <w:r w:rsidR="004D4124">
            <w:rPr>
              <w:rFonts w:ascii="Arial" w:hAnsi="Arial" w:cs="Arial"/>
            </w:rPr>
            <w:t>{Neighbourhood House}</w:t>
          </w:r>
          <w:r w:rsidRPr="00A72CEB">
            <w:rPr>
              <w:rFonts w:ascii="Arial" w:hAnsi="Arial" w:cs="Arial"/>
            </w:rPr>
            <w:t xml:space="preserve"> will use improvement processes to improve performance. Should such improvement processes be unsuccessful in improving an employee’s performance, </w:t>
          </w:r>
          <w:r w:rsidR="004D4124">
            <w:rPr>
              <w:rFonts w:ascii="Arial" w:hAnsi="Arial" w:cs="Arial"/>
            </w:rPr>
            <w:t>{Neighbourhood House}</w:t>
          </w:r>
          <w:r w:rsidRPr="00A72CEB">
            <w:rPr>
              <w:rFonts w:ascii="Arial" w:hAnsi="Arial" w:cs="Arial"/>
            </w:rPr>
            <w:t xml:space="preserve"> may decide to end an employee’s employment. Depending on the circumstances, performance improvement action may include verbal or written warnings, counselling or retraining.</w:t>
          </w:r>
        </w:p>
        <w:p w14:paraId="19239D20" w14:textId="2DC8E8E4" w:rsidR="00A72CEB" w:rsidRPr="00A72CEB" w:rsidRDefault="004D4124" w:rsidP="00A72CEB">
          <w:pPr>
            <w:rPr>
              <w:rFonts w:ascii="Arial" w:hAnsi="Arial" w:cs="Arial"/>
            </w:rPr>
          </w:pPr>
          <w:r>
            <w:rPr>
              <w:rFonts w:ascii="Arial" w:hAnsi="Arial" w:cs="Arial"/>
            </w:rPr>
            <w:t>{Neighbourhood House}</w:t>
          </w:r>
          <w:r w:rsidR="00A72CEB" w:rsidRPr="00A72CEB">
            <w:rPr>
              <w:rFonts w:ascii="Arial" w:hAnsi="Arial" w:cs="Arial"/>
            </w:rPr>
            <w:t xml:space="preserve"> requires a minimum standard of conduct and performance which will be made clear to employees in management appraisals. If an employee does not meet this standard, </w:t>
          </w:r>
          <w:r>
            <w:rPr>
              <w:rFonts w:ascii="Arial" w:hAnsi="Arial" w:cs="Arial"/>
            </w:rPr>
            <w:t>{Neighbourhood House}</w:t>
          </w:r>
          <w:r w:rsidR="00A72CEB" w:rsidRPr="00A72CEB">
            <w:rPr>
              <w:rFonts w:ascii="Arial" w:hAnsi="Arial" w:cs="Arial"/>
            </w:rPr>
            <w:t xml:space="preserve"> will take appropriate corrective action, such as training. Formal performance improvement procedures will generally only start when other corrective action fails.</w:t>
          </w:r>
        </w:p>
        <w:p w14:paraId="064FA434" w14:textId="515AEA81" w:rsidR="00A72CEB" w:rsidRPr="00A72CEB" w:rsidRDefault="00A72CEB" w:rsidP="00A72CEB">
          <w:pPr>
            <w:rPr>
              <w:rFonts w:ascii="Arial" w:hAnsi="Arial" w:cs="Arial"/>
            </w:rPr>
          </w:pPr>
          <w:r w:rsidRPr="00A72CEB">
            <w:rPr>
              <w:rFonts w:ascii="Arial" w:hAnsi="Arial" w:cs="Arial"/>
            </w:rPr>
            <w:t xml:space="preserve">If an employee deliberately breaches business policy or procedure, or engages in misconduct, </w:t>
          </w:r>
          <w:r w:rsidR="004D4124">
            <w:rPr>
              <w:rFonts w:ascii="Arial" w:hAnsi="Arial" w:cs="Arial"/>
            </w:rPr>
            <w:t>{Neighbourhood House}</w:t>
          </w:r>
          <w:r w:rsidRPr="00A72CEB">
            <w:rPr>
              <w:rFonts w:ascii="Arial" w:hAnsi="Arial" w:cs="Arial"/>
            </w:rPr>
            <w:t xml:space="preserve"> may start improvement procedures, or, in cases of serious misconduct or breach of policy, may dismiss an employee.</w:t>
          </w:r>
        </w:p>
        <w:p w14:paraId="385B0E9F" w14:textId="50DEC5ED" w:rsidR="00A72CEB" w:rsidRPr="00A72CEB" w:rsidRDefault="00A72CEB" w:rsidP="00A72CEB">
          <w:pPr>
            <w:rPr>
              <w:rFonts w:ascii="Arial" w:hAnsi="Arial" w:cs="Arial"/>
            </w:rPr>
          </w:pPr>
          <w:r w:rsidRPr="00A72CEB">
            <w:rPr>
              <w:rFonts w:ascii="Arial" w:hAnsi="Arial" w:cs="Arial"/>
            </w:rPr>
            <w:t xml:space="preserve">Each employee must understand their responsibilities, be counselled and given the opportunity to reach the standards expected of them. </w:t>
          </w:r>
          <w:r w:rsidR="004D4124">
            <w:rPr>
              <w:rFonts w:ascii="Arial" w:hAnsi="Arial" w:cs="Arial"/>
            </w:rPr>
            <w:t>{Neighbourhood House}</w:t>
          </w:r>
          <w:r w:rsidRPr="00A72CEB">
            <w:rPr>
              <w:rFonts w:ascii="Arial" w:hAnsi="Arial" w:cs="Arial"/>
            </w:rPr>
            <w:t xml:space="preserve"> will give an employee the opportunity to defend themselves before management takes further action.</w:t>
          </w:r>
        </w:p>
        <w:p w14:paraId="184CB84A" w14:textId="1AFB7E16" w:rsidR="00A72CEB" w:rsidRPr="00A72CEB" w:rsidRDefault="00A72CEB" w:rsidP="00A72CEB">
          <w:pPr>
            <w:rPr>
              <w:rFonts w:ascii="Arial" w:hAnsi="Arial" w:cs="Arial"/>
            </w:rPr>
          </w:pPr>
          <w:r w:rsidRPr="00A72CEB">
            <w:rPr>
              <w:rFonts w:ascii="Arial" w:hAnsi="Arial" w:cs="Arial"/>
            </w:rPr>
            <w:lastRenderedPageBreak/>
            <w:t xml:space="preserve">Note: If employees have a disability that requires reasonable adjustments to be made to the workplace or job to allow you to work safely and productively, they should raise this with their manager. </w:t>
          </w:r>
          <w:r w:rsidR="004D4124">
            <w:rPr>
              <w:rFonts w:ascii="Arial" w:hAnsi="Arial" w:cs="Arial"/>
            </w:rPr>
            <w:t>{Neighbourhood House}</w:t>
          </w:r>
          <w:r w:rsidRPr="00A72CEB">
            <w:rPr>
              <w:rFonts w:ascii="Arial" w:hAnsi="Arial" w:cs="Arial"/>
            </w:rPr>
            <w:t xml:space="preserve"> will only refuse such requests on reasonable business grounds.</w:t>
          </w:r>
        </w:p>
        <w:p w14:paraId="5246B025" w14:textId="77777777" w:rsidR="00A72CEB" w:rsidRPr="004D4124" w:rsidRDefault="00A72CEB" w:rsidP="00A72CEB">
          <w:pPr>
            <w:pStyle w:val="Guidance"/>
            <w:rPr>
              <w:rFonts w:cs="Arial"/>
              <w:i/>
              <w:iCs/>
              <w:color w:val="0070C0"/>
            </w:rPr>
          </w:pPr>
          <w:r w:rsidRPr="004D4124">
            <w:rPr>
              <w:rFonts w:cs="Arial"/>
              <w:i/>
              <w:iCs/>
              <w:color w:val="0070C0"/>
            </w:rPr>
            <w:t>Guidance: In the case of dismissal, legal advice or contact with an employer association prior to dismissing an employee could be money and time well spent.</w:t>
          </w:r>
        </w:p>
        <w:p w14:paraId="7CE05D4B" w14:textId="77777777" w:rsidR="00A72CEB" w:rsidRPr="004D4124" w:rsidRDefault="00A72CEB" w:rsidP="00A72CEB">
          <w:pPr>
            <w:pStyle w:val="Guidance"/>
            <w:rPr>
              <w:rFonts w:cs="Arial"/>
              <w:i/>
              <w:iCs/>
              <w:color w:val="0070C0"/>
            </w:rPr>
          </w:pPr>
          <w:r w:rsidRPr="004D4124">
            <w:rPr>
              <w:rFonts w:cs="Arial"/>
              <w:i/>
              <w:iCs/>
              <w:color w:val="0070C0"/>
            </w:rPr>
            <w:t>Additionally, the Small Business Fair Dismissal Code applies to businesses with fewer than 15 employees (excluding irregular casuals) If a small business follows this code, a dismissal will not be unfair. Although not legally required, use the Small Business Fair Dismissal Code Checklist as your guide to the right procedure. Keep completed copies and records of meetings and discussions as a record you’ve done the right thing. You can find a copy by doing a search for ‘dismissal code’ on the Fair Work Online website (fairwork.gov.au)</w:t>
          </w:r>
        </w:p>
        <w:p w14:paraId="46680EFD" w14:textId="77777777" w:rsidR="00A72CEB" w:rsidRPr="00A72CEB" w:rsidRDefault="00A72CEB" w:rsidP="004D4124">
          <w:pPr>
            <w:pStyle w:val="Heading2"/>
          </w:pPr>
          <w:r w:rsidRPr="00A72CEB">
            <w:t>Procedure</w:t>
          </w:r>
        </w:p>
        <w:p w14:paraId="2113ECC8" w14:textId="2F3E4781" w:rsidR="00A72CEB" w:rsidRPr="00A72CEB" w:rsidRDefault="004D4124" w:rsidP="00A72CEB">
          <w:pPr>
            <w:numPr>
              <w:ilvl w:val="0"/>
              <w:numId w:val="50"/>
            </w:numPr>
            <w:spacing w:before="120" w:after="0" w:line="360" w:lineRule="auto"/>
            <w:ind w:left="426"/>
            <w:rPr>
              <w:rFonts w:ascii="Arial" w:hAnsi="Arial" w:cs="Arial"/>
            </w:rPr>
          </w:pPr>
          <w:r>
            <w:rPr>
              <w:rFonts w:ascii="Arial" w:hAnsi="Arial" w:cs="Arial"/>
            </w:rPr>
            <w:t>{Neighbourhood House}</w:t>
          </w:r>
          <w:r w:rsidR="00A72CEB" w:rsidRPr="00A72CEB">
            <w:rPr>
              <w:rFonts w:ascii="Arial" w:hAnsi="Arial" w:cs="Arial"/>
            </w:rPr>
            <w:t xml:space="preserve"> will advise the employee of any shortfall in their performance and give them an opportunity to respond.</w:t>
          </w:r>
        </w:p>
        <w:p w14:paraId="146F8B93" w14:textId="4875FAA1"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 xml:space="preserve">Once they respond, the manager will consider their response and decide if performance improvement action should be taken. </w:t>
          </w:r>
          <w:r w:rsidR="004D4124">
            <w:rPr>
              <w:rFonts w:ascii="Arial" w:hAnsi="Arial" w:cs="Arial"/>
            </w:rPr>
            <w:t>{Neighbourhood House}</w:t>
          </w:r>
          <w:r w:rsidRPr="00A72CEB">
            <w:rPr>
              <w:rFonts w:ascii="Arial" w:hAnsi="Arial" w:cs="Arial"/>
            </w:rPr>
            <w:t xml:space="preserve"> will provide support such as training where appropriate.</w:t>
          </w:r>
        </w:p>
        <w:p w14:paraId="164A54DB"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If the employee is given a verbal warning, the manager should make a note of it, date it and sign it.</w:t>
          </w:r>
        </w:p>
        <w:p w14:paraId="3CA60FDA"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 xml:space="preserve">The manager will advise the employee in clear terms what they see as the performance problem or the unacceptable conduct. To highlight the </w:t>
          </w:r>
          <w:proofErr w:type="gramStart"/>
          <w:r w:rsidRPr="00A72CEB">
            <w:rPr>
              <w:rFonts w:ascii="Arial" w:hAnsi="Arial" w:cs="Arial"/>
            </w:rPr>
            <w:t>deficiency</w:t>
          </w:r>
          <w:proofErr w:type="gramEnd"/>
          <w:r w:rsidRPr="00A72CEB">
            <w:rPr>
              <w:rFonts w:ascii="Arial" w:hAnsi="Arial" w:cs="Arial"/>
            </w:rPr>
            <w:t xml:space="preserve"> they should use specific examples and refer to the correct policy or procedure.</w:t>
          </w:r>
        </w:p>
        <w:p w14:paraId="49BB042C"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 xml:space="preserve">The manager will allow the employee to respond before </w:t>
          </w:r>
          <w:proofErr w:type="gramStart"/>
          <w:r w:rsidRPr="00A72CEB">
            <w:rPr>
              <w:rFonts w:ascii="Arial" w:hAnsi="Arial" w:cs="Arial"/>
            </w:rPr>
            <w:t>making a decision</w:t>
          </w:r>
          <w:proofErr w:type="gramEnd"/>
          <w:r w:rsidRPr="00A72CEB">
            <w:rPr>
              <w:rFonts w:ascii="Arial" w:hAnsi="Arial" w:cs="Arial"/>
            </w:rPr>
            <w:t xml:space="preserve"> and consider the employee’s responses. The employee may have a support person present at such meetings.</w:t>
          </w:r>
        </w:p>
        <w:p w14:paraId="269BEDFE"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The manager will decide if more action is needed.</w:t>
          </w:r>
        </w:p>
        <w:p w14:paraId="4705F33A"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If a written warning is to follow, the manager is to:</w:t>
          </w:r>
        </w:p>
        <w:p w14:paraId="4A50DCA0" w14:textId="77777777" w:rsidR="00A72CEB" w:rsidRPr="004D4124" w:rsidRDefault="00A72CEB" w:rsidP="004D4124">
          <w:pPr>
            <w:pStyle w:val="ListParagraph"/>
            <w:numPr>
              <w:ilvl w:val="0"/>
              <w:numId w:val="54"/>
            </w:numPr>
            <w:spacing w:before="120" w:after="0" w:line="360" w:lineRule="auto"/>
            <w:rPr>
              <w:rFonts w:ascii="Arial" w:hAnsi="Arial" w:cs="Arial"/>
            </w:rPr>
          </w:pPr>
          <w:r w:rsidRPr="004D4124">
            <w:rPr>
              <w:rFonts w:ascii="Arial" w:hAnsi="Arial" w:cs="Arial"/>
            </w:rPr>
            <w:t>document it and give the employee a copy</w:t>
          </w:r>
        </w:p>
        <w:p w14:paraId="1B2CB6D3" w14:textId="77777777" w:rsidR="00A72CEB" w:rsidRPr="004D4124" w:rsidRDefault="00A72CEB" w:rsidP="004D4124">
          <w:pPr>
            <w:pStyle w:val="ListParagraph"/>
            <w:numPr>
              <w:ilvl w:val="0"/>
              <w:numId w:val="54"/>
            </w:numPr>
            <w:spacing w:before="120" w:after="0" w:line="360" w:lineRule="auto"/>
            <w:rPr>
              <w:rFonts w:ascii="Arial" w:hAnsi="Arial" w:cs="Arial"/>
            </w:rPr>
          </w:pPr>
          <w:r w:rsidRPr="004D4124">
            <w:rPr>
              <w:rFonts w:ascii="Arial" w:hAnsi="Arial" w:cs="Arial"/>
            </w:rPr>
            <w:t>give the employee the opportunity (and their support person the opportunity) to sign the warning</w:t>
          </w:r>
        </w:p>
        <w:p w14:paraId="1D6E882F" w14:textId="77777777" w:rsidR="00A72CEB" w:rsidRPr="004D4124" w:rsidRDefault="00A72CEB" w:rsidP="004D4124">
          <w:pPr>
            <w:pStyle w:val="ListParagraph"/>
            <w:numPr>
              <w:ilvl w:val="0"/>
              <w:numId w:val="54"/>
            </w:numPr>
            <w:spacing w:before="120" w:after="0" w:line="360" w:lineRule="auto"/>
            <w:rPr>
              <w:rFonts w:ascii="Arial" w:hAnsi="Arial" w:cs="Arial"/>
            </w:rPr>
          </w:pPr>
          <w:r w:rsidRPr="004D4124">
            <w:rPr>
              <w:rFonts w:ascii="Arial" w:hAnsi="Arial" w:cs="Arial"/>
            </w:rPr>
            <w:t>keep a copy on file</w:t>
          </w:r>
        </w:p>
        <w:p w14:paraId="346B2A26"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lastRenderedPageBreak/>
            <w:t>The warning must clearly define:</w:t>
          </w:r>
        </w:p>
        <w:p w14:paraId="0E3CBAB1" w14:textId="77777777" w:rsidR="00A72CEB" w:rsidRPr="004D4124" w:rsidRDefault="00A72CEB" w:rsidP="004D4124">
          <w:pPr>
            <w:pStyle w:val="ListParagraph"/>
            <w:numPr>
              <w:ilvl w:val="0"/>
              <w:numId w:val="55"/>
            </w:numPr>
            <w:spacing w:before="120" w:after="0" w:line="360" w:lineRule="auto"/>
            <w:rPr>
              <w:rFonts w:ascii="Arial" w:hAnsi="Arial" w:cs="Arial"/>
            </w:rPr>
          </w:pPr>
          <w:r w:rsidRPr="004D4124">
            <w:rPr>
              <w:rFonts w:ascii="Arial" w:hAnsi="Arial" w:cs="Arial"/>
            </w:rPr>
            <w:t>the deficiency</w:t>
          </w:r>
        </w:p>
        <w:p w14:paraId="4AD2C555" w14:textId="77777777" w:rsidR="00A72CEB" w:rsidRPr="004D4124" w:rsidRDefault="00A72CEB" w:rsidP="004D4124">
          <w:pPr>
            <w:pStyle w:val="ListParagraph"/>
            <w:numPr>
              <w:ilvl w:val="0"/>
              <w:numId w:val="55"/>
            </w:numPr>
            <w:spacing w:before="120" w:after="0" w:line="360" w:lineRule="auto"/>
            <w:rPr>
              <w:rFonts w:ascii="Arial" w:hAnsi="Arial" w:cs="Arial"/>
            </w:rPr>
          </w:pPr>
          <w:r w:rsidRPr="004D4124">
            <w:rPr>
              <w:rFonts w:ascii="Arial" w:hAnsi="Arial" w:cs="Arial"/>
            </w:rPr>
            <w:t>a clear explanation of the expected standard</w:t>
          </w:r>
        </w:p>
        <w:p w14:paraId="12E92E17" w14:textId="77777777" w:rsidR="00A72CEB" w:rsidRPr="004D4124" w:rsidRDefault="00A72CEB" w:rsidP="004D4124">
          <w:pPr>
            <w:pStyle w:val="ListParagraph"/>
            <w:numPr>
              <w:ilvl w:val="0"/>
              <w:numId w:val="55"/>
            </w:numPr>
            <w:spacing w:before="120" w:after="0" w:line="360" w:lineRule="auto"/>
            <w:rPr>
              <w:rFonts w:ascii="Arial" w:hAnsi="Arial" w:cs="Arial"/>
            </w:rPr>
          </w:pPr>
          <w:r w:rsidRPr="004D4124">
            <w:rPr>
              <w:rFonts w:ascii="Arial" w:hAnsi="Arial" w:cs="Arial"/>
            </w:rPr>
            <w:t>by when the employee needs to achieve it</w:t>
          </w:r>
        </w:p>
        <w:p w14:paraId="1699E487" w14:textId="77777777" w:rsidR="00A72CEB" w:rsidRPr="004D4124" w:rsidRDefault="00A72CEB" w:rsidP="004D4124">
          <w:pPr>
            <w:pStyle w:val="ListParagraph"/>
            <w:numPr>
              <w:ilvl w:val="0"/>
              <w:numId w:val="55"/>
            </w:numPr>
            <w:spacing w:before="120" w:after="0" w:line="360" w:lineRule="auto"/>
            <w:rPr>
              <w:rFonts w:ascii="Arial" w:hAnsi="Arial" w:cs="Arial"/>
            </w:rPr>
          </w:pPr>
          <w:r w:rsidRPr="004D4124">
            <w:rPr>
              <w:rFonts w:ascii="Arial" w:hAnsi="Arial" w:cs="Arial"/>
            </w:rPr>
            <w:t>how the business will help the employee achieve the improvement required</w:t>
          </w:r>
        </w:p>
        <w:p w14:paraId="28E0BD0D" w14:textId="77777777" w:rsidR="00A72CEB" w:rsidRPr="004D4124" w:rsidRDefault="00A72CEB" w:rsidP="004D4124">
          <w:pPr>
            <w:pStyle w:val="ListParagraph"/>
            <w:numPr>
              <w:ilvl w:val="0"/>
              <w:numId w:val="55"/>
            </w:numPr>
            <w:spacing w:before="120" w:after="0" w:line="360" w:lineRule="auto"/>
            <w:rPr>
              <w:rFonts w:ascii="Arial" w:hAnsi="Arial" w:cs="Arial"/>
            </w:rPr>
          </w:pPr>
          <w:r w:rsidRPr="004D4124">
            <w:rPr>
              <w:rFonts w:ascii="Arial" w:hAnsi="Arial" w:cs="Arial"/>
            </w:rPr>
            <w:t>consequences of failing to improve</w:t>
          </w:r>
        </w:p>
        <w:p w14:paraId="50C1636E"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The manager concerned will keep a record of all meetings, training and/or coaching given and a summary of discussions and put a copy on the employee’s personnel file. This should include date, location and time of discussion.</w:t>
          </w:r>
        </w:p>
        <w:p w14:paraId="26104648" w14:textId="77777777"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They will continue to support the employee and note the support they give, for example, training or counselling.</w:t>
          </w:r>
        </w:p>
        <w:p w14:paraId="59651165" w14:textId="7B94FBA2" w:rsidR="00A72CEB" w:rsidRPr="00A72CEB" w:rsidRDefault="00A72CEB" w:rsidP="00A72CEB">
          <w:pPr>
            <w:numPr>
              <w:ilvl w:val="0"/>
              <w:numId w:val="50"/>
            </w:numPr>
            <w:spacing w:before="120" w:after="0" w:line="360" w:lineRule="auto"/>
            <w:ind w:left="426"/>
            <w:rPr>
              <w:rFonts w:ascii="Arial" w:hAnsi="Arial" w:cs="Arial"/>
            </w:rPr>
          </w:pPr>
          <w:r w:rsidRPr="00A72CEB">
            <w:rPr>
              <w:rFonts w:ascii="Arial" w:hAnsi="Arial" w:cs="Arial"/>
            </w:rPr>
            <w:t xml:space="preserve">If the employee’s performance or conduct doesn’t improve, the manager will give the employee a final written warning and follow steps 4–10 above. This document needs to warn the employee in clear terms </w:t>
          </w:r>
          <w:r w:rsidR="004D4124">
            <w:rPr>
              <w:rFonts w:ascii="Arial" w:hAnsi="Arial" w:cs="Arial"/>
            </w:rPr>
            <w:t>{Neighbourhood House}</w:t>
          </w:r>
          <w:r w:rsidRPr="00A72CEB">
            <w:rPr>
              <w:rFonts w:ascii="Arial" w:hAnsi="Arial" w:cs="Arial"/>
            </w:rPr>
            <w:t xml:space="preserve"> will terminate their employment if there is not enough improvement, and a sustained improvement in, their performance.</w:t>
          </w:r>
        </w:p>
        <w:p w14:paraId="15593659" w14:textId="77777777" w:rsidR="00A72CEB" w:rsidRPr="00A72CEB" w:rsidRDefault="00A72CEB" w:rsidP="00A72CEB">
          <w:pPr>
            <w:rPr>
              <w:rFonts w:ascii="Arial" w:hAnsi="Arial" w:cs="Arial"/>
            </w:rPr>
          </w:pPr>
          <w:r w:rsidRPr="00A72CEB">
            <w:rPr>
              <w:rFonts w:ascii="Arial" w:hAnsi="Arial" w:cs="Arial"/>
              <w:b/>
              <w:bCs/>
            </w:rPr>
            <w:t>Note</w:t>
          </w:r>
          <w:r w:rsidRPr="00A72CEB">
            <w:rPr>
              <w:rFonts w:ascii="Arial" w:hAnsi="Arial" w:cs="Arial"/>
            </w:rPr>
            <w:t xml:space="preserve">: some circumstances justify going straight to a second or final warning. </w:t>
          </w:r>
        </w:p>
        <w:p w14:paraId="1A86A1F7" w14:textId="77777777" w:rsidR="00A72CEB" w:rsidRPr="00A72CEB" w:rsidRDefault="00A72CEB" w:rsidP="004D4124">
          <w:pPr>
            <w:pStyle w:val="Heading2"/>
          </w:pPr>
          <w:r w:rsidRPr="00A72CEB">
            <w:t>Gross or serious misconduct policy</w:t>
          </w:r>
        </w:p>
        <w:p w14:paraId="3A004BF6" w14:textId="77777777" w:rsidR="00A72CEB" w:rsidRPr="00A72CEB" w:rsidRDefault="00A72CEB" w:rsidP="00A72CEB">
          <w:pPr>
            <w:rPr>
              <w:rFonts w:ascii="Arial" w:hAnsi="Arial" w:cs="Arial"/>
            </w:rPr>
          </w:pPr>
          <w:r w:rsidRPr="00A72CEB">
            <w:rPr>
              <w:rFonts w:ascii="Arial" w:hAnsi="Arial" w:cs="Arial"/>
            </w:rPr>
            <w:t>Summary (instant) dismissal for gross or very serious misconduct is possible (depending on the facts involved). Management should seek advice before taking this step.</w:t>
          </w:r>
        </w:p>
        <w:p w14:paraId="386EDDEE" w14:textId="77777777" w:rsidR="00A72CEB" w:rsidRPr="00A72CEB" w:rsidRDefault="00A72CEB" w:rsidP="004D4124">
          <w:pPr>
            <w:pStyle w:val="Heading2"/>
          </w:pPr>
          <w:r w:rsidRPr="00A72CEB">
            <w:t>Procedure</w:t>
          </w:r>
        </w:p>
        <w:p w14:paraId="1044CAD5" w14:textId="77777777" w:rsidR="00A72CEB" w:rsidRPr="00A72CEB" w:rsidRDefault="00A72CEB" w:rsidP="00A72CEB">
          <w:pPr>
            <w:numPr>
              <w:ilvl w:val="0"/>
              <w:numId w:val="53"/>
            </w:numPr>
            <w:spacing w:before="120" w:after="0" w:line="360" w:lineRule="auto"/>
            <w:rPr>
              <w:rFonts w:ascii="Arial" w:hAnsi="Arial" w:cs="Arial"/>
            </w:rPr>
          </w:pPr>
          <w:r w:rsidRPr="00A72CEB">
            <w:rPr>
              <w:rFonts w:ascii="Arial" w:hAnsi="Arial" w:cs="Arial"/>
            </w:rPr>
            <w:t>The manager is to investigate the alleged offence thoroughly, including talking to witnesses, if any.</w:t>
          </w:r>
        </w:p>
        <w:p w14:paraId="3A25F8EA" w14:textId="77777777" w:rsidR="00A72CEB" w:rsidRPr="00A72CEB" w:rsidRDefault="00A72CEB" w:rsidP="00A72CEB">
          <w:pPr>
            <w:numPr>
              <w:ilvl w:val="0"/>
              <w:numId w:val="53"/>
            </w:numPr>
            <w:spacing w:before="120" w:after="0" w:line="360" w:lineRule="auto"/>
            <w:rPr>
              <w:rFonts w:ascii="Arial" w:hAnsi="Arial" w:cs="Arial"/>
            </w:rPr>
          </w:pPr>
          <w:r w:rsidRPr="00A72CEB">
            <w:rPr>
              <w:rFonts w:ascii="Arial" w:hAnsi="Arial" w:cs="Arial"/>
            </w:rPr>
            <w:t xml:space="preserve">The manager should ask the employee for their response to the allegation (taking notes of this discussion) and allow them to have representation. The manager should also have a witness present. The manager shall </w:t>
          </w:r>
          <w:proofErr w:type="gramStart"/>
          <w:r w:rsidRPr="00A72CEB">
            <w:rPr>
              <w:rFonts w:ascii="Arial" w:hAnsi="Arial" w:cs="Arial"/>
            </w:rPr>
            <w:t>give genuine consideration to</w:t>
          </w:r>
          <w:proofErr w:type="gramEnd"/>
          <w:r w:rsidRPr="00A72CEB">
            <w:rPr>
              <w:rFonts w:ascii="Arial" w:hAnsi="Arial" w:cs="Arial"/>
            </w:rPr>
            <w:t xml:space="preserve"> the employee’s response and circumstances.</w:t>
          </w:r>
        </w:p>
        <w:p w14:paraId="5DCAF0F0" w14:textId="77777777" w:rsidR="00A72CEB" w:rsidRPr="00A72CEB" w:rsidRDefault="00A72CEB" w:rsidP="00A72CEB">
          <w:pPr>
            <w:numPr>
              <w:ilvl w:val="0"/>
              <w:numId w:val="53"/>
            </w:numPr>
            <w:spacing w:before="120" w:after="0" w:line="360" w:lineRule="auto"/>
            <w:rPr>
              <w:rFonts w:ascii="Arial" w:hAnsi="Arial" w:cs="Arial"/>
            </w:rPr>
          </w:pPr>
          <w:r w:rsidRPr="00A72CEB">
            <w:rPr>
              <w:rFonts w:ascii="Arial" w:hAnsi="Arial" w:cs="Arial"/>
            </w:rPr>
            <w:t>If still appropriate, following a thorough investigation, the manager can terminate/dismiss the employee.</w:t>
          </w:r>
        </w:p>
        <w:p w14:paraId="4D8A0F6A" w14:textId="77777777" w:rsidR="00A72CEB" w:rsidRPr="00A72CEB" w:rsidRDefault="00A72CEB" w:rsidP="00A72CEB">
          <w:pPr>
            <w:numPr>
              <w:ilvl w:val="0"/>
              <w:numId w:val="53"/>
            </w:numPr>
            <w:spacing w:before="120" w:after="0" w:line="360" w:lineRule="auto"/>
            <w:rPr>
              <w:rFonts w:ascii="Arial" w:hAnsi="Arial" w:cs="Arial"/>
            </w:rPr>
          </w:pPr>
          <w:r w:rsidRPr="00A72CEB">
            <w:rPr>
              <w:rFonts w:ascii="Arial" w:hAnsi="Arial" w:cs="Arial"/>
            </w:rPr>
            <w:t>The manager should keep a file of all evidence collected and action taken in these circumstances.</w:t>
          </w:r>
        </w:p>
        <w:p w14:paraId="031A2821" w14:textId="47CB2718" w:rsidR="00664E92" w:rsidRPr="004D4124" w:rsidRDefault="004D4124" w:rsidP="00381555">
          <w:pPr>
            <w:numPr>
              <w:ilvl w:val="0"/>
              <w:numId w:val="53"/>
            </w:numPr>
            <w:spacing w:before="120" w:after="0" w:line="360" w:lineRule="auto"/>
            <w:rPr>
              <w:rFonts w:ascii="Arial" w:hAnsi="Arial" w:cs="Arial"/>
            </w:rPr>
          </w:pPr>
          <w:r>
            <w:rPr>
              <w:rFonts w:ascii="Arial" w:hAnsi="Arial" w:cs="Arial"/>
            </w:rPr>
            <w:lastRenderedPageBreak/>
            <w:t>{Neighbourhood House}</w:t>
          </w:r>
          <w:r w:rsidR="00A72CEB" w:rsidRPr="004D4124">
            <w:rPr>
              <w:rFonts w:ascii="Arial" w:hAnsi="Arial" w:cs="Arial"/>
            </w:rPr>
            <w:t xml:space="preserve"> will send the employee a letter of termination noting brief details.</w:t>
          </w:r>
        </w:p>
      </w:sdtContent>
    </w:sdt>
    <w:bookmarkEnd w:id="0" w:displacedByCustomXml="prev"/>
    <w:sectPr w:rsidR="00664E92" w:rsidRPr="004D4124"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FC35" w14:textId="77777777" w:rsidR="00452CD3" w:rsidRDefault="00452CD3">
      <w:pPr>
        <w:spacing w:after="0" w:line="240" w:lineRule="auto"/>
      </w:pPr>
      <w:r>
        <w:separator/>
      </w:r>
    </w:p>
  </w:endnote>
  <w:endnote w:type="continuationSeparator" w:id="0">
    <w:p w14:paraId="286CDE49" w14:textId="77777777" w:rsidR="00452CD3" w:rsidRDefault="00452CD3">
      <w:pPr>
        <w:spacing w:after="0" w:line="240" w:lineRule="auto"/>
      </w:pPr>
      <w:r>
        <w:continuationSeparator/>
      </w:r>
    </w:p>
  </w:endnote>
  <w:endnote w:type="continuationNotice" w:id="1">
    <w:p w14:paraId="354A2293" w14:textId="77777777" w:rsidR="00452CD3" w:rsidRDefault="00452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B1D26"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9FC9" w14:textId="77777777" w:rsidR="00452CD3" w:rsidRDefault="00452CD3">
      <w:pPr>
        <w:spacing w:after="0" w:line="240" w:lineRule="auto"/>
      </w:pPr>
      <w:r>
        <w:separator/>
      </w:r>
    </w:p>
  </w:footnote>
  <w:footnote w:type="continuationSeparator" w:id="0">
    <w:p w14:paraId="7E272BA8" w14:textId="77777777" w:rsidR="00452CD3" w:rsidRDefault="00452CD3">
      <w:pPr>
        <w:spacing w:after="0" w:line="240" w:lineRule="auto"/>
      </w:pPr>
      <w:r>
        <w:continuationSeparator/>
      </w:r>
    </w:p>
  </w:footnote>
  <w:footnote w:type="continuationNotice" w:id="1">
    <w:p w14:paraId="308C1B40" w14:textId="77777777" w:rsidR="00452CD3" w:rsidRDefault="00452C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C7B5F"/>
    <w:multiLevelType w:val="hybridMultilevel"/>
    <w:tmpl w:val="8B9C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B0380"/>
    <w:multiLevelType w:val="hybridMultilevel"/>
    <w:tmpl w:val="0B60A5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C4556"/>
    <w:multiLevelType w:val="hybridMultilevel"/>
    <w:tmpl w:val="7D802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A378F4"/>
    <w:multiLevelType w:val="hybridMultilevel"/>
    <w:tmpl w:val="9B3AA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8"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2FF3934"/>
    <w:multiLevelType w:val="hybridMultilevel"/>
    <w:tmpl w:val="883611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2E5219"/>
    <w:multiLevelType w:val="hybridMultilevel"/>
    <w:tmpl w:val="9F8A1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9E3F5D"/>
    <w:multiLevelType w:val="hybridMultilevel"/>
    <w:tmpl w:val="0B62F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17D18E9"/>
    <w:multiLevelType w:val="hybridMultilevel"/>
    <w:tmpl w:val="C9F67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A552E7"/>
    <w:multiLevelType w:val="hybridMultilevel"/>
    <w:tmpl w:val="72C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405799F"/>
    <w:multiLevelType w:val="hybridMultilevel"/>
    <w:tmpl w:val="2B6A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DE32F2"/>
    <w:multiLevelType w:val="hybridMultilevel"/>
    <w:tmpl w:val="7AAA49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3F16D7"/>
    <w:multiLevelType w:val="hybridMultilevel"/>
    <w:tmpl w:val="CBD08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F850C75"/>
    <w:multiLevelType w:val="hybridMultilevel"/>
    <w:tmpl w:val="46384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7F7984"/>
    <w:multiLevelType w:val="hybridMultilevel"/>
    <w:tmpl w:val="06543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15E6404"/>
    <w:multiLevelType w:val="hybridMultilevel"/>
    <w:tmpl w:val="6F7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D46452B"/>
    <w:multiLevelType w:val="hybridMultilevel"/>
    <w:tmpl w:val="8AE61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467925"/>
    <w:multiLevelType w:val="hybridMultilevel"/>
    <w:tmpl w:val="8006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38"/>
  </w:num>
  <w:num w:numId="2" w16cid:durableId="825826344">
    <w:abstractNumId w:val="51"/>
  </w:num>
  <w:num w:numId="3" w16cid:durableId="2127767176">
    <w:abstractNumId w:val="21"/>
  </w:num>
  <w:num w:numId="4" w16cid:durableId="1627158002">
    <w:abstractNumId w:val="48"/>
  </w:num>
  <w:num w:numId="5" w16cid:durableId="937719007">
    <w:abstractNumId w:val="28"/>
  </w:num>
  <w:num w:numId="6" w16cid:durableId="72313043">
    <w:abstractNumId w:val="34"/>
  </w:num>
  <w:num w:numId="7" w16cid:durableId="2044014247">
    <w:abstractNumId w:val="37"/>
  </w:num>
  <w:num w:numId="8" w16cid:durableId="1239048802">
    <w:abstractNumId w:val="11"/>
  </w:num>
  <w:num w:numId="9" w16cid:durableId="1067148221">
    <w:abstractNumId w:val="13"/>
  </w:num>
  <w:num w:numId="10" w16cid:durableId="1842231377">
    <w:abstractNumId w:val="35"/>
  </w:num>
  <w:num w:numId="11" w16cid:durableId="1497500737">
    <w:abstractNumId w:val="29"/>
  </w:num>
  <w:num w:numId="12" w16cid:durableId="773283843">
    <w:abstractNumId w:val="18"/>
  </w:num>
  <w:num w:numId="13" w16cid:durableId="840237164">
    <w:abstractNumId w:val="47"/>
  </w:num>
  <w:num w:numId="14" w16cid:durableId="529077648">
    <w:abstractNumId w:val="30"/>
  </w:num>
  <w:num w:numId="15" w16cid:durableId="1691489548">
    <w:abstractNumId w:val="16"/>
  </w:num>
  <w:num w:numId="16" w16cid:durableId="354045103">
    <w:abstractNumId w:val="26"/>
  </w:num>
  <w:num w:numId="17" w16cid:durableId="672759031">
    <w:abstractNumId w:val="23"/>
  </w:num>
  <w:num w:numId="18" w16cid:durableId="1451587320">
    <w:abstractNumId w:val="43"/>
  </w:num>
  <w:num w:numId="19" w16cid:durableId="1494444649">
    <w:abstractNumId w:val="49"/>
  </w:num>
  <w:num w:numId="20" w16cid:durableId="1867056380">
    <w:abstractNumId w:val="20"/>
  </w:num>
  <w:num w:numId="21" w16cid:durableId="1595898115">
    <w:abstractNumId w:val="17"/>
  </w:num>
  <w:num w:numId="22" w16cid:durableId="124275260">
    <w:abstractNumId w:val="52"/>
  </w:num>
  <w:num w:numId="23" w16cid:durableId="1387221285">
    <w:abstractNumId w:val="39"/>
  </w:num>
  <w:num w:numId="24" w16cid:durableId="2078168665">
    <w:abstractNumId w:val="54"/>
  </w:num>
  <w:num w:numId="25" w16cid:durableId="129400397">
    <w:abstractNumId w:val="40"/>
  </w:num>
  <w:num w:numId="26" w16cid:durableId="1488519375">
    <w:abstractNumId w:val="24"/>
  </w:num>
  <w:num w:numId="27" w16cid:durableId="168106531">
    <w:abstractNumId w:val="42"/>
  </w:num>
  <w:num w:numId="28" w16cid:durableId="717045904">
    <w:abstractNumId w:val="32"/>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142894113">
    <w:abstractNumId w:val="31"/>
  </w:num>
  <w:num w:numId="40" w16cid:durableId="1537043737">
    <w:abstractNumId w:val="25"/>
  </w:num>
  <w:num w:numId="41" w16cid:durableId="1495216205">
    <w:abstractNumId w:val="50"/>
  </w:num>
  <w:num w:numId="42" w16cid:durableId="1381903421">
    <w:abstractNumId w:val="10"/>
  </w:num>
  <w:num w:numId="43" w16cid:durableId="55203575">
    <w:abstractNumId w:val="12"/>
  </w:num>
  <w:num w:numId="44" w16cid:durableId="1984771030">
    <w:abstractNumId w:val="45"/>
  </w:num>
  <w:num w:numId="45" w16cid:durableId="1243173908">
    <w:abstractNumId w:val="53"/>
  </w:num>
  <w:num w:numId="46" w16cid:durableId="1726952232">
    <w:abstractNumId w:val="33"/>
  </w:num>
  <w:num w:numId="47" w16cid:durableId="325518786">
    <w:abstractNumId w:val="14"/>
  </w:num>
  <w:num w:numId="48" w16cid:durableId="1981881431">
    <w:abstractNumId w:val="36"/>
  </w:num>
  <w:num w:numId="49" w16cid:durableId="847905772">
    <w:abstractNumId w:val="27"/>
  </w:num>
  <w:num w:numId="50" w16cid:durableId="266743116">
    <w:abstractNumId w:val="41"/>
  </w:num>
  <w:num w:numId="51" w16cid:durableId="2108382935">
    <w:abstractNumId w:val="46"/>
  </w:num>
  <w:num w:numId="52" w16cid:durableId="2091854282">
    <w:abstractNumId w:val="44"/>
  </w:num>
  <w:num w:numId="53" w16cid:durableId="240679403">
    <w:abstractNumId w:val="15"/>
  </w:num>
  <w:num w:numId="54" w16cid:durableId="1501509152">
    <w:abstractNumId w:val="22"/>
  </w:num>
  <w:num w:numId="55" w16cid:durableId="16275884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47BB5"/>
    <w:rsid w:val="00151F1F"/>
    <w:rsid w:val="001558BC"/>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2F7272"/>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176E"/>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3BC6"/>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2CD3"/>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05CF"/>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124"/>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161A5"/>
    <w:rsid w:val="00523481"/>
    <w:rsid w:val="00524A23"/>
    <w:rsid w:val="00525E03"/>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2A67"/>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86410"/>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062BF"/>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2FC0"/>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2CEB"/>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658D0"/>
    <w:rsid w:val="00B80F2C"/>
    <w:rsid w:val="00B83CA8"/>
    <w:rsid w:val="00B86603"/>
    <w:rsid w:val="00B86667"/>
    <w:rsid w:val="00B91A11"/>
    <w:rsid w:val="00B95C40"/>
    <w:rsid w:val="00BA14CC"/>
    <w:rsid w:val="00BA2EF3"/>
    <w:rsid w:val="00BA5535"/>
    <w:rsid w:val="00BA585C"/>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16B3"/>
    <w:rsid w:val="00BF2311"/>
    <w:rsid w:val="00BF287B"/>
    <w:rsid w:val="00BF3CB4"/>
    <w:rsid w:val="00BF78C9"/>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108F"/>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0B55"/>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4F5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29F9"/>
    <w:rsid w:val="00FA4A38"/>
    <w:rsid w:val="00FA5582"/>
    <w:rsid w:val="00FA7E56"/>
    <w:rsid w:val="00FB02E6"/>
    <w:rsid w:val="00FB0C58"/>
    <w:rsid w:val="00FB2301"/>
    <w:rsid w:val="00FB271C"/>
    <w:rsid w:val="00FB66EE"/>
    <w:rsid w:val="00FB7AC2"/>
    <w:rsid w:val="00FC1824"/>
    <w:rsid w:val="00FC436B"/>
    <w:rsid w:val="00FC4568"/>
    <w:rsid w:val="00FC7758"/>
    <w:rsid w:val="00FD2483"/>
    <w:rsid w:val="00FD4C31"/>
    <w:rsid w:val="00FD4F5E"/>
    <w:rsid w:val="00FD7A6A"/>
    <w:rsid w:val="00FE4419"/>
    <w:rsid w:val="00FE482E"/>
    <w:rsid w:val="00FE6512"/>
    <w:rsid w:val="00FE67F8"/>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4D4124"/>
    <w:pPr>
      <w:keepNext/>
      <w:keepLines/>
      <w:spacing w:before="240" w:line="240" w:lineRule="auto"/>
      <w:outlineLvl w:val="1"/>
    </w:pPr>
    <w:rPr>
      <w:rFonts w:ascii="Arial" w:eastAsiaTheme="majorEastAsia" w:hAnsi="Arial" w:cs="Arial"/>
      <w:b/>
      <w:bCs/>
      <w:sz w:val="36"/>
      <w:szCs w:val="32"/>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4D4124"/>
    <w:rPr>
      <w:rFonts w:ascii="Arial" w:eastAsiaTheme="majorEastAsia" w:hAnsi="Arial" w:cs="Arial"/>
      <w:b/>
      <w:bCs/>
      <w:sz w:val="36"/>
      <w:szCs w:val="32"/>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nhideWhenUsed/>
    <w:rsid w:val="00FB2301"/>
    <w:pPr>
      <w:spacing w:after="0" w:line="240" w:lineRule="auto"/>
    </w:pPr>
    <w:rPr>
      <w:sz w:val="20"/>
    </w:rPr>
  </w:style>
  <w:style w:type="character" w:customStyle="1" w:styleId="HeaderChar">
    <w:name w:val="Header Char"/>
    <w:basedOn w:val="DefaultParagraphFont"/>
    <w:link w:val="Header"/>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 w:type="paragraph" w:customStyle="1" w:styleId="Guidance">
    <w:name w:val="Guidance"/>
    <w:basedOn w:val="Normal"/>
    <w:qFormat/>
    <w:rsid w:val="00FE67F8"/>
    <w:pPr>
      <w:spacing w:before="120" w:after="0" w:line="360" w:lineRule="auto"/>
    </w:pPr>
    <w:rPr>
      <w:rFonts w:ascii="Arial" w:eastAsia="Times New Roman" w:hAnsi="Arial" w:cs="Times New Roman"/>
      <w:color w:val="1F4E79"/>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2.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4</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5</cp:revision>
  <cp:lastPrinted>2018-08-29T18:35:00Z</cp:lastPrinted>
  <dcterms:created xsi:type="dcterms:W3CDTF">2025-06-12T04:49:00Z</dcterms:created>
  <dcterms:modified xsi:type="dcterms:W3CDTF">2025-06-12T04:52:00Z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