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Pr>
              <w:rFonts w:ascii="Arial" w:hAnsi="Arial" w:cs="Arial"/>
              <w:noProof/>
              <w:color w:val="2F5897" w:themeColor="text2"/>
              <w:sz w:val="96"/>
              <w:lang w:eastAsia="en-AU"/>
              <w14:ligatures w14:val="none"/>
              <w14:cntxtAlts w14:val="0"/>
            </w:rPr>
            <w:drawing>
              <wp:anchor distT="0" distB="0" distL="114300" distR="114300" simplePos="0" relativeHeight="251658240"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Default="00951E43" w:rsidP="008F2A8A">
          <w:pPr>
            <w:pStyle w:val="Title"/>
            <w:rPr>
              <w:rFonts w:ascii="Arial" w:hAnsi="Arial" w:cs="Arial"/>
              <w:color w:val="002060"/>
            </w:rPr>
          </w:pPr>
        </w:p>
        <w:p w14:paraId="501CFEB3" w14:textId="720731EF" w:rsidR="00951E43" w:rsidRDefault="00FC436B" w:rsidP="0040042E">
          <w:pPr>
            <w:pStyle w:val="Heading3"/>
            <w:rPr>
              <w:rFonts w:ascii="Arial" w:hAnsi="Arial" w:cs="Arial"/>
              <w:b w:val="0"/>
              <w:bCs w:val="0"/>
              <w:color w:val="002060"/>
              <w:spacing w:val="5"/>
              <w:kern w:val="28"/>
              <w:sz w:val="56"/>
              <w:szCs w:val="56"/>
              <w14:ligatures w14:val="standardContextual"/>
              <w14:cntxtAlts/>
            </w:rPr>
          </w:pPr>
          <w:r w:rsidRPr="00FC436B">
            <w:rPr>
              <w:rFonts w:ascii="Arial" w:hAnsi="Arial" w:cs="Arial"/>
              <w:b w:val="0"/>
              <w:bCs w:val="0"/>
              <w:color w:val="002060"/>
              <w:spacing w:val="5"/>
              <w:kern w:val="28"/>
              <w:sz w:val="56"/>
              <w:szCs w:val="56"/>
              <w14:ligatures w14:val="standardContextual"/>
              <w14:cntxtAlts/>
            </w:rPr>
            <w:t xml:space="preserve">Grievance </w:t>
          </w:r>
          <w:r>
            <w:rPr>
              <w:rFonts w:ascii="Arial" w:hAnsi="Arial" w:cs="Arial"/>
              <w:b w:val="0"/>
              <w:bCs w:val="0"/>
              <w:color w:val="002060"/>
              <w:spacing w:val="5"/>
              <w:kern w:val="28"/>
              <w:sz w:val="56"/>
              <w:szCs w:val="56"/>
              <w14:ligatures w14:val="standardContextual"/>
              <w14:cntxtAlts/>
            </w:rPr>
            <w:t>C</w:t>
          </w:r>
          <w:r w:rsidRPr="00FC436B">
            <w:rPr>
              <w:rFonts w:ascii="Arial" w:hAnsi="Arial" w:cs="Arial"/>
              <w:b w:val="0"/>
              <w:bCs w:val="0"/>
              <w:color w:val="002060"/>
              <w:spacing w:val="5"/>
              <w:kern w:val="28"/>
              <w:sz w:val="56"/>
              <w:szCs w:val="56"/>
              <w14:ligatures w14:val="standardContextual"/>
              <w14:cntxtAlts/>
            </w:rPr>
            <w:t>omplaints</w:t>
          </w:r>
          <w:r w:rsidRPr="00FC436B">
            <w:rPr>
              <w:rFonts w:ascii="Arial" w:hAnsi="Arial" w:cs="Arial"/>
              <w:b w:val="0"/>
              <w:bCs w:val="0"/>
              <w:color w:val="002060"/>
              <w:spacing w:val="5"/>
              <w:kern w:val="28"/>
              <w:sz w:val="56"/>
              <w:szCs w:val="56"/>
              <w14:ligatures w14:val="standardContextual"/>
              <w14:cntxtAlts/>
            </w:rPr>
            <w:t xml:space="preserve"> </w:t>
          </w:r>
          <w:r w:rsidR="00147BB5" w:rsidRPr="00147BB5">
            <w:rPr>
              <w:rFonts w:ascii="Arial" w:hAnsi="Arial" w:cs="Arial"/>
              <w:b w:val="0"/>
              <w:bCs w:val="0"/>
              <w:color w:val="002060"/>
              <w:spacing w:val="5"/>
              <w:kern w:val="28"/>
              <w:sz w:val="56"/>
              <w:szCs w:val="56"/>
              <w14:ligatures w14:val="standardContextual"/>
              <w14:cntxtAlts/>
            </w:rPr>
            <w:t>Policy</w:t>
          </w:r>
        </w:p>
        <w:p w14:paraId="04AAD0C7" w14:textId="77777777" w:rsidR="00147BB5" w:rsidRPr="00147BB5" w:rsidRDefault="00147BB5" w:rsidP="00147BB5"/>
        <w:p w14:paraId="221DD947" w14:textId="7B06D4C2" w:rsidR="00B91A11" w:rsidRPr="008F2A8A" w:rsidRDefault="00B91A11" w:rsidP="0040042E">
          <w:pPr>
            <w:pStyle w:val="Heading3"/>
            <w:rPr>
              <w:rFonts w:ascii="Arial" w:hAnsi="Arial" w:cs="Arial"/>
            </w:rPr>
          </w:pPr>
          <w:r w:rsidRPr="008F2A8A">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8F2A8A" w14:paraId="65AB3EE6" w14:textId="77777777" w:rsidTr="00E54F5A">
            <w:trPr>
              <w:trHeight w:val="510"/>
              <w:jc w:val="center"/>
            </w:trPr>
            <w:tc>
              <w:tcPr>
                <w:tcW w:w="2358" w:type="dxa"/>
                <w:tcBorders>
                  <w:left w:val="single" w:sz="4" w:space="0" w:color="auto"/>
                </w:tcBorders>
                <w:vAlign w:val="center"/>
              </w:tcPr>
              <w:p w14:paraId="6E253EEC" w14:textId="77777777" w:rsidR="002D3ECD" w:rsidRPr="008F2A8A" w:rsidRDefault="002D3ECD" w:rsidP="009A6DC9">
                <w:pPr>
                  <w:pStyle w:val="TableHeading"/>
                  <w:rPr>
                    <w:rFonts w:ascii="Arial" w:hAnsi="Arial" w:cs="Arial"/>
                  </w:rPr>
                </w:pPr>
                <w:r w:rsidRPr="008F2A8A">
                  <w:rPr>
                    <w:rFonts w:ascii="Arial" w:hAnsi="Arial" w:cs="Arial"/>
                  </w:rPr>
                  <w:t>Policy Title:</w:t>
                </w:r>
              </w:p>
            </w:tc>
            <w:tc>
              <w:tcPr>
                <w:tcW w:w="7385" w:type="dxa"/>
                <w:gridSpan w:val="3"/>
                <w:tcBorders>
                  <w:right w:val="single" w:sz="4" w:space="0" w:color="auto"/>
                </w:tcBorders>
                <w:vAlign w:val="center"/>
              </w:tcPr>
              <w:p w14:paraId="25EBE48A" w14:textId="77777777" w:rsidR="002D3ECD" w:rsidRPr="008F2A8A" w:rsidRDefault="002D3ECD" w:rsidP="00F010A3">
                <w:pPr>
                  <w:pStyle w:val="TableText"/>
                  <w:rPr>
                    <w:rFonts w:ascii="Arial" w:hAnsi="Arial" w:cs="Arial"/>
                  </w:rPr>
                </w:pPr>
              </w:p>
            </w:tc>
          </w:tr>
          <w:tr w:rsidR="00214AAE" w:rsidRPr="008F2A8A" w14:paraId="2CF200DE" w14:textId="77777777" w:rsidTr="00E54F5A">
            <w:trPr>
              <w:trHeight w:val="510"/>
              <w:jc w:val="center"/>
            </w:trPr>
            <w:tc>
              <w:tcPr>
                <w:tcW w:w="2358" w:type="dxa"/>
                <w:tcBorders>
                  <w:left w:val="single" w:sz="4" w:space="0" w:color="auto"/>
                </w:tcBorders>
                <w:vAlign w:val="center"/>
              </w:tcPr>
              <w:p w14:paraId="7598E34E" w14:textId="77777777" w:rsidR="00214AAE" w:rsidRPr="008F2A8A" w:rsidRDefault="00214AAE" w:rsidP="009A6DC9">
                <w:pPr>
                  <w:pStyle w:val="TableHeading"/>
                  <w:rPr>
                    <w:rFonts w:ascii="Arial" w:hAnsi="Arial" w:cs="Arial"/>
                  </w:rPr>
                </w:pPr>
                <w:r w:rsidRPr="008F2A8A">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8F2A8A" w:rsidRDefault="00214AAE" w:rsidP="00F010A3">
                <w:pPr>
                  <w:pStyle w:val="TableText"/>
                  <w:rPr>
                    <w:rFonts w:ascii="Arial" w:hAnsi="Arial" w:cs="Arial"/>
                  </w:rPr>
                </w:pPr>
              </w:p>
            </w:tc>
          </w:tr>
          <w:tr w:rsidR="00B91A11" w:rsidRPr="008F2A8A" w14:paraId="7094AD5F" w14:textId="77777777" w:rsidTr="00E54F5A">
            <w:trPr>
              <w:trHeight w:val="510"/>
              <w:jc w:val="center"/>
            </w:trPr>
            <w:tc>
              <w:tcPr>
                <w:tcW w:w="2358" w:type="dxa"/>
                <w:tcBorders>
                  <w:left w:val="single" w:sz="4" w:space="0" w:color="auto"/>
                </w:tcBorders>
                <w:vAlign w:val="center"/>
              </w:tcPr>
              <w:p w14:paraId="5B1808AF" w14:textId="77777777" w:rsidR="002D3ECD" w:rsidRPr="008F2A8A" w:rsidRDefault="002D3ECD" w:rsidP="009A6DC9">
                <w:pPr>
                  <w:pStyle w:val="TableHeading"/>
                  <w:rPr>
                    <w:rFonts w:ascii="Arial" w:hAnsi="Arial" w:cs="Arial"/>
                  </w:rPr>
                </w:pPr>
                <w:r w:rsidRPr="008F2A8A">
                  <w:rPr>
                    <w:rFonts w:ascii="Arial" w:hAnsi="Arial" w:cs="Arial"/>
                  </w:rPr>
                  <w:t>Date Ratified:</w:t>
                </w:r>
              </w:p>
            </w:tc>
            <w:tc>
              <w:tcPr>
                <w:tcW w:w="2455" w:type="dxa"/>
                <w:vAlign w:val="center"/>
              </w:tcPr>
              <w:p w14:paraId="4411F8B7" w14:textId="77777777" w:rsidR="002D3ECD" w:rsidRPr="008F2A8A" w:rsidRDefault="002D3ECD" w:rsidP="00814BC7">
                <w:pPr>
                  <w:pStyle w:val="TableText"/>
                  <w:rPr>
                    <w:rFonts w:ascii="Arial" w:hAnsi="Arial" w:cs="Arial"/>
                  </w:rPr>
                </w:pPr>
              </w:p>
            </w:tc>
            <w:tc>
              <w:tcPr>
                <w:tcW w:w="2475" w:type="dxa"/>
                <w:vAlign w:val="center"/>
              </w:tcPr>
              <w:p w14:paraId="007F67D7" w14:textId="77777777" w:rsidR="002D3ECD" w:rsidRPr="008F2A8A" w:rsidRDefault="002D3ECD" w:rsidP="00F010A3">
                <w:pPr>
                  <w:pStyle w:val="TableHeading"/>
                  <w:rPr>
                    <w:rFonts w:ascii="Arial" w:hAnsi="Arial" w:cs="Arial"/>
                  </w:rPr>
                </w:pPr>
                <w:r w:rsidRPr="008F2A8A">
                  <w:rPr>
                    <w:rFonts w:ascii="Arial" w:hAnsi="Arial" w:cs="Arial"/>
                  </w:rPr>
                  <w:t>Review Date:</w:t>
                </w:r>
              </w:p>
            </w:tc>
            <w:tc>
              <w:tcPr>
                <w:tcW w:w="2455" w:type="dxa"/>
                <w:tcBorders>
                  <w:right w:val="single" w:sz="4" w:space="0" w:color="auto"/>
                </w:tcBorders>
                <w:vAlign w:val="center"/>
              </w:tcPr>
              <w:p w14:paraId="32BF510A" w14:textId="77777777" w:rsidR="002D3ECD" w:rsidRPr="008F2A8A" w:rsidRDefault="002D3ECD" w:rsidP="00F010A3">
                <w:pPr>
                  <w:pStyle w:val="TableText"/>
                  <w:rPr>
                    <w:rFonts w:ascii="Arial" w:hAnsi="Arial" w:cs="Arial"/>
                  </w:rPr>
                </w:pPr>
              </w:p>
            </w:tc>
          </w:tr>
        </w:tbl>
        <w:p w14:paraId="7FD23DF0" w14:textId="77777777" w:rsidR="00E54F5A" w:rsidRDefault="00E54F5A" w:rsidP="00E54F5A">
          <w:pPr>
            <w:rPr>
              <w:color w:val="FF0000"/>
            </w:rPr>
          </w:pPr>
          <w:bookmarkStart w:id="0" w:name="_Toc523148719"/>
        </w:p>
        <w:p w14:paraId="496A4354" w14:textId="4A94C158" w:rsidR="00B658D0" w:rsidRPr="00B658D0" w:rsidRDefault="00B658D0" w:rsidP="00B658D0">
          <w:pPr>
            <w:rPr>
              <w:rFonts w:ascii="Arial" w:hAnsi="Arial" w:cs="Arial"/>
              <w:color w:val="FF0000"/>
            </w:rPr>
          </w:pPr>
          <w:r w:rsidRPr="00B658D0">
            <w:rPr>
              <w:rFonts w:ascii="Arial" w:hAnsi="Arial" w:cs="Arial"/>
              <w:color w:val="FF0000"/>
            </w:rPr>
            <w:t>For signatories to the NHACE 2016</w:t>
          </w:r>
          <w:r>
            <w:rPr>
              <w:rFonts w:ascii="Arial" w:hAnsi="Arial" w:cs="Arial"/>
              <w:color w:val="FF0000"/>
            </w:rPr>
            <w:t xml:space="preserve">, </w:t>
          </w:r>
          <w:r w:rsidRPr="00B658D0">
            <w:rPr>
              <w:rFonts w:ascii="Arial" w:hAnsi="Arial" w:cs="Arial"/>
              <w:color w:val="FF0000"/>
            </w:rPr>
            <w:t>2018</w:t>
          </w:r>
          <w:r>
            <w:rPr>
              <w:rFonts w:ascii="Arial" w:hAnsi="Arial" w:cs="Arial"/>
              <w:color w:val="FF0000"/>
            </w:rPr>
            <w:t xml:space="preserve"> and 2024</w:t>
          </w:r>
          <w:r w:rsidRPr="00B658D0">
            <w:rPr>
              <w:rFonts w:ascii="Arial" w:hAnsi="Arial" w:cs="Arial"/>
              <w:color w:val="FF0000"/>
            </w:rPr>
            <w:t>, please read in conjunction with section 9 of the agreement.</w:t>
          </w:r>
        </w:p>
        <w:p w14:paraId="0CA5C9C1" w14:textId="77777777" w:rsidR="00B658D0" w:rsidRPr="00B658D0" w:rsidRDefault="00B658D0" w:rsidP="00B658D0">
          <w:pPr>
            <w:pStyle w:val="Heading2"/>
            <w:rPr>
              <w:rFonts w:ascii="Arial" w:hAnsi="Arial" w:cs="Arial"/>
            </w:rPr>
          </w:pPr>
          <w:r w:rsidRPr="00B658D0">
            <w:rPr>
              <w:rFonts w:ascii="Arial" w:hAnsi="Arial" w:cs="Arial"/>
            </w:rPr>
            <w:t>Policy</w:t>
          </w:r>
        </w:p>
        <w:p w14:paraId="4F39BB97" w14:textId="2B61732D" w:rsidR="00B658D0" w:rsidRPr="00B658D0" w:rsidRDefault="00B658D0" w:rsidP="00B658D0">
          <w:pPr>
            <w:rPr>
              <w:rFonts w:ascii="Arial" w:hAnsi="Arial" w:cs="Arial"/>
            </w:rPr>
          </w:pPr>
          <w:r>
            <w:rPr>
              <w:rFonts w:ascii="Arial" w:hAnsi="Arial" w:cs="Arial"/>
            </w:rPr>
            <w:t>{Neighbourhood House}</w:t>
          </w:r>
          <w:r w:rsidRPr="00B658D0">
            <w:rPr>
              <w:rFonts w:ascii="Arial" w:hAnsi="Arial" w:cs="Arial"/>
            </w:rPr>
            <w:t xml:space="preserve"> supports the right of every employee to lodge a grievance with their manager if they believe a decision, behaviour or action affecting their employment is unfair. An employee may raise a grievance about any performance improvement action taken against them.</w:t>
          </w:r>
        </w:p>
        <w:p w14:paraId="74DE7ED2" w14:textId="23CB788C" w:rsidR="00B658D0" w:rsidRPr="00B658D0" w:rsidRDefault="00B658D0" w:rsidP="00B658D0">
          <w:pPr>
            <w:rPr>
              <w:rFonts w:ascii="Arial" w:hAnsi="Arial" w:cs="Arial"/>
            </w:rPr>
          </w:pPr>
          <w:r w:rsidRPr="00B658D0">
            <w:rPr>
              <w:rFonts w:ascii="Arial" w:hAnsi="Arial" w:cs="Arial"/>
            </w:rPr>
            <w:t xml:space="preserve">We aim to resolve problems and grievances promptly and as close to the source as possible. When necessary, </w:t>
          </w:r>
          <w:r>
            <w:rPr>
              <w:rFonts w:ascii="Arial" w:hAnsi="Arial" w:cs="Arial"/>
            </w:rPr>
            <w:t>{Neighbourhood House}</w:t>
          </w:r>
          <w:r w:rsidRPr="00B658D0">
            <w:rPr>
              <w:rFonts w:ascii="Arial" w:hAnsi="Arial" w:cs="Arial"/>
            </w:rPr>
            <w:t xml:space="preserve"> will escalate a grievance to the next higher level of authority for more discussion and resolution and continue escalating it to the level above until it is resolved.</w:t>
          </w:r>
        </w:p>
        <w:p w14:paraId="16B43EDE" w14:textId="77777777" w:rsidR="00B658D0" w:rsidRPr="00B658D0" w:rsidRDefault="00B658D0" w:rsidP="00B658D0">
          <w:pPr>
            <w:rPr>
              <w:rFonts w:ascii="Arial" w:hAnsi="Arial" w:cs="Arial"/>
            </w:rPr>
          </w:pPr>
          <w:r w:rsidRPr="00B658D0">
            <w:rPr>
              <w:rFonts w:ascii="Arial" w:hAnsi="Arial" w:cs="Arial"/>
            </w:rPr>
            <w:t>Managers will do their utmost to action grievances objectively, discreetly and promptly. Be aware that grievances that are misconceived, vexatious, and lacking substance may result in disciplinary action being taken against the employee lodging the grievance.</w:t>
          </w:r>
        </w:p>
        <w:p w14:paraId="1BDC98CD" w14:textId="77777777" w:rsidR="00B658D0" w:rsidRPr="00B658D0" w:rsidRDefault="00B658D0" w:rsidP="00B658D0">
          <w:pPr>
            <w:pStyle w:val="Heading2"/>
            <w:rPr>
              <w:rFonts w:ascii="Arial" w:hAnsi="Arial" w:cs="Arial"/>
            </w:rPr>
          </w:pPr>
          <w:r w:rsidRPr="00B658D0">
            <w:rPr>
              <w:rFonts w:ascii="Arial" w:hAnsi="Arial" w:cs="Arial"/>
            </w:rPr>
            <w:t>Procedure</w:t>
          </w:r>
        </w:p>
        <w:p w14:paraId="78DEB541" w14:textId="77777777" w:rsidR="00B658D0" w:rsidRPr="00B658D0" w:rsidRDefault="00B658D0" w:rsidP="00B658D0">
          <w:pPr>
            <w:numPr>
              <w:ilvl w:val="0"/>
              <w:numId w:val="41"/>
            </w:numPr>
            <w:spacing w:before="120" w:after="0" w:line="360" w:lineRule="auto"/>
            <w:rPr>
              <w:rFonts w:ascii="Arial" w:hAnsi="Arial" w:cs="Arial"/>
            </w:rPr>
          </w:pPr>
          <w:r w:rsidRPr="00B658D0">
            <w:rPr>
              <w:rFonts w:ascii="Arial" w:hAnsi="Arial" w:cs="Arial"/>
            </w:rPr>
            <w:t>The employee should try to resolve the grievance as close to the source as possible. This can be informal and verbal. At this stage, every possible effort should be made to settle a grievance before the formal grievance process starts. The employee is entitled to nominate a representative to be present during such discussions. If the matter still can’t be resolved, the process continues and becomes formal.</w:t>
          </w:r>
        </w:p>
        <w:p w14:paraId="12DC7514" w14:textId="77777777" w:rsidR="00B658D0" w:rsidRPr="00B658D0" w:rsidRDefault="00B658D0" w:rsidP="00B658D0">
          <w:pPr>
            <w:numPr>
              <w:ilvl w:val="0"/>
              <w:numId w:val="41"/>
            </w:numPr>
            <w:spacing w:before="120" w:after="0" w:line="360" w:lineRule="auto"/>
            <w:rPr>
              <w:rFonts w:ascii="Arial" w:hAnsi="Arial" w:cs="Arial"/>
            </w:rPr>
          </w:pPr>
          <w:r w:rsidRPr="00B658D0">
            <w:rPr>
              <w:rFonts w:ascii="Arial" w:hAnsi="Arial" w:cs="Arial"/>
            </w:rPr>
            <w:lastRenderedPageBreak/>
            <w:t>To start the formal grievance the complainants must fully describe their grievance in writing, with dates and locations wherever possible and how they have already tried to settle the grievance.</w:t>
          </w:r>
        </w:p>
        <w:p w14:paraId="2E843A7C" w14:textId="77777777" w:rsidR="00B658D0" w:rsidRPr="00B658D0" w:rsidRDefault="00B658D0" w:rsidP="00B658D0">
          <w:pPr>
            <w:numPr>
              <w:ilvl w:val="0"/>
              <w:numId w:val="41"/>
            </w:numPr>
            <w:spacing w:before="120" w:after="0" w:line="360" w:lineRule="auto"/>
            <w:rPr>
              <w:rFonts w:ascii="Arial" w:hAnsi="Arial" w:cs="Arial"/>
            </w:rPr>
          </w:pPr>
          <w:r w:rsidRPr="00B658D0">
            <w:rPr>
              <w:rFonts w:ascii="Arial" w:hAnsi="Arial" w:cs="Arial"/>
            </w:rPr>
            <w:t>The person(s) against whom the grievance/complaint is made should be given the full details of the allegation(s) against them. They should have the opportunity and a reasonable time to respond before the process continues.</w:t>
          </w:r>
        </w:p>
        <w:p w14:paraId="2F56FADC" w14:textId="77777777" w:rsidR="00B658D0" w:rsidRDefault="00B658D0" w:rsidP="00B658D0">
          <w:pPr>
            <w:rPr>
              <w:rFonts w:ascii="Arial" w:hAnsi="Arial" w:cs="Arial"/>
            </w:rPr>
          </w:pPr>
        </w:p>
        <w:p w14:paraId="1CEB1F3D" w14:textId="47CA1A12" w:rsidR="00C65E60" w:rsidRPr="00B658D0" w:rsidRDefault="00B658D0" w:rsidP="00B658D0">
          <w:pPr>
            <w:rPr>
              <w:rFonts w:ascii="Arial" w:hAnsi="Arial" w:cs="Arial"/>
              <w:szCs w:val="24"/>
              <w:lang w:eastAsia="en-AU"/>
            </w:rPr>
          </w:pPr>
          <w:r w:rsidRPr="00B658D0">
            <w:rPr>
              <w:rFonts w:ascii="Arial" w:hAnsi="Arial" w:cs="Arial"/>
            </w:rPr>
            <w:t>If the grievance still can’t be resolved, refer the matter to the most senior manager for consideration and a final decision. A grievance taken to this level must be in writing from the employee.</w:t>
          </w:r>
        </w:p>
        <w:p w14:paraId="031A2821" w14:textId="77777777" w:rsidR="00664E92" w:rsidRPr="008F2A8A" w:rsidRDefault="00B658D0" w:rsidP="00C65E60">
          <w:pPr>
            <w:rPr>
              <w:rFonts w:ascii="Arial" w:hAnsi="Arial" w:cs="Arial"/>
              <w:szCs w:val="24"/>
              <w:lang w:eastAsia="en-AU"/>
            </w:rPr>
          </w:pPr>
        </w:p>
      </w:sdtContent>
    </w:sdt>
    <w:bookmarkEnd w:id="0" w:displacedByCustomXml="prev"/>
    <w:sectPr w:rsidR="00664E92" w:rsidRPr="008F2A8A"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5341" w14:textId="77777777" w:rsidR="008F2A8A" w:rsidRDefault="008F2A8A">
      <w:pPr>
        <w:spacing w:after="0" w:line="240" w:lineRule="auto"/>
      </w:pPr>
      <w:r>
        <w:separator/>
      </w:r>
    </w:p>
  </w:endnote>
  <w:endnote w:type="continuationSeparator" w:id="0">
    <w:p w14:paraId="3B1856F4" w14:textId="77777777" w:rsidR="008F2A8A" w:rsidRDefault="008F2A8A">
      <w:pPr>
        <w:spacing w:after="0" w:line="240" w:lineRule="auto"/>
      </w:pPr>
      <w:r>
        <w:continuationSeparator/>
      </w:r>
    </w:p>
  </w:endnote>
  <w:endnote w:type="continuationNotice" w:id="1">
    <w:p w14:paraId="56408CB2" w14:textId="77777777" w:rsidR="008F2A8A" w:rsidRDefault="008F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09753"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449" w14:textId="77777777" w:rsidR="008F2A8A" w:rsidRDefault="008F2A8A">
      <w:pPr>
        <w:spacing w:after="0" w:line="240" w:lineRule="auto"/>
      </w:pPr>
      <w:r>
        <w:separator/>
      </w:r>
    </w:p>
  </w:footnote>
  <w:footnote w:type="continuationSeparator" w:id="0">
    <w:p w14:paraId="0C385981" w14:textId="77777777" w:rsidR="008F2A8A" w:rsidRDefault="008F2A8A">
      <w:pPr>
        <w:spacing w:after="0" w:line="240" w:lineRule="auto"/>
      </w:pPr>
      <w:r>
        <w:continuationSeparator/>
      </w:r>
    </w:p>
  </w:footnote>
  <w:footnote w:type="continuationNotice" w:id="1">
    <w:p w14:paraId="4FB48637" w14:textId="77777777" w:rsidR="008F2A8A" w:rsidRDefault="008F2A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4"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9E3F5D"/>
    <w:multiLevelType w:val="hybridMultilevel"/>
    <w:tmpl w:val="0B62F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D46452B"/>
    <w:multiLevelType w:val="hybridMultilevel"/>
    <w:tmpl w:val="8AE61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29"/>
  </w:num>
  <w:num w:numId="2" w16cid:durableId="825826344">
    <w:abstractNumId w:val="38"/>
  </w:num>
  <w:num w:numId="3" w16cid:durableId="2127767176">
    <w:abstractNumId w:val="16"/>
  </w:num>
  <w:num w:numId="4" w16cid:durableId="1627158002">
    <w:abstractNumId w:val="35"/>
  </w:num>
  <w:num w:numId="5" w16cid:durableId="937719007">
    <w:abstractNumId w:val="21"/>
  </w:num>
  <w:num w:numId="6" w16cid:durableId="72313043">
    <w:abstractNumId w:val="26"/>
  </w:num>
  <w:num w:numId="7" w16cid:durableId="2044014247">
    <w:abstractNumId w:val="28"/>
  </w:num>
  <w:num w:numId="8" w16cid:durableId="1239048802">
    <w:abstractNumId w:val="10"/>
  </w:num>
  <w:num w:numId="9" w16cid:durableId="1067148221">
    <w:abstractNumId w:val="11"/>
  </w:num>
  <w:num w:numId="10" w16cid:durableId="1842231377">
    <w:abstractNumId w:val="27"/>
  </w:num>
  <w:num w:numId="11" w16cid:durableId="1497500737">
    <w:abstractNumId w:val="22"/>
  </w:num>
  <w:num w:numId="12" w16cid:durableId="773283843">
    <w:abstractNumId w:val="14"/>
  </w:num>
  <w:num w:numId="13" w16cid:durableId="840237164">
    <w:abstractNumId w:val="34"/>
  </w:num>
  <w:num w:numId="14" w16cid:durableId="529077648">
    <w:abstractNumId w:val="23"/>
  </w:num>
  <w:num w:numId="15" w16cid:durableId="1691489548">
    <w:abstractNumId w:val="12"/>
  </w:num>
  <w:num w:numId="16" w16cid:durableId="354045103">
    <w:abstractNumId w:val="20"/>
  </w:num>
  <w:num w:numId="17" w16cid:durableId="672759031">
    <w:abstractNumId w:val="17"/>
  </w:num>
  <w:num w:numId="18" w16cid:durableId="1451587320">
    <w:abstractNumId w:val="33"/>
  </w:num>
  <w:num w:numId="19" w16cid:durableId="1494444649">
    <w:abstractNumId w:val="36"/>
  </w:num>
  <w:num w:numId="20" w16cid:durableId="1867056380">
    <w:abstractNumId w:val="15"/>
  </w:num>
  <w:num w:numId="21" w16cid:durableId="1595898115">
    <w:abstractNumId w:val="13"/>
  </w:num>
  <w:num w:numId="22" w16cid:durableId="124275260">
    <w:abstractNumId w:val="39"/>
  </w:num>
  <w:num w:numId="23" w16cid:durableId="1387221285">
    <w:abstractNumId w:val="30"/>
  </w:num>
  <w:num w:numId="24" w16cid:durableId="2078168665">
    <w:abstractNumId w:val="40"/>
  </w:num>
  <w:num w:numId="25" w16cid:durableId="129400397">
    <w:abstractNumId w:val="31"/>
  </w:num>
  <w:num w:numId="26" w16cid:durableId="1488519375">
    <w:abstractNumId w:val="18"/>
  </w:num>
  <w:num w:numId="27" w16cid:durableId="168106531">
    <w:abstractNumId w:val="32"/>
  </w:num>
  <w:num w:numId="28" w16cid:durableId="717045904">
    <w:abstractNumId w:val="25"/>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142894113">
    <w:abstractNumId w:val="24"/>
  </w:num>
  <w:num w:numId="40" w16cid:durableId="1537043737">
    <w:abstractNumId w:val="19"/>
  </w:num>
  <w:num w:numId="41" w16cid:durableId="14952162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47BB5"/>
    <w:rsid w:val="00151F1F"/>
    <w:rsid w:val="001558BC"/>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161A5"/>
    <w:rsid w:val="00523481"/>
    <w:rsid w:val="00524A23"/>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2FC0"/>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658D0"/>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16B3"/>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4F5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36B"/>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2.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F3029479-C75F-4099-94F2-02E02CF13D48}">
  <ds:schemaRefs>
    <ds:schemaRef ds:uri="http://purl.org/dc/elements/1.1/"/>
    <ds:schemaRef ds:uri="http://schemas.microsoft.com/office/2006/metadata/properties"/>
    <ds:schemaRef ds:uri="6855be08-b5d3-4f13-b158-bf089314da1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83f366c-05fb-4be4-9334-79ee91b37a6e"/>
    <ds:schemaRef ds:uri="2b102171-2659-46a1-9f74-81a4bcf42816"/>
    <ds:schemaRef ds:uri="http://www.w3.org/XML/1998/namespace"/>
    <ds:schemaRef ds:uri="http://purl.org/dc/dcmitype/"/>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4</cp:revision>
  <cp:lastPrinted>2018-08-29T18:35:00Z</cp:lastPrinted>
  <dcterms:created xsi:type="dcterms:W3CDTF">2025-06-12T04:37:00Z</dcterms:created>
  <dcterms:modified xsi:type="dcterms:W3CDTF">2025-06-12T04:38:00Z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