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bCs/>
          <w:color w:val="1C5992"/>
          <w:spacing w:val="5"/>
          <w:kern w:val="28"/>
          <w:sz w:val="44"/>
          <w:szCs w:val="24"/>
          <w14:ligatures w14:val="standardContextual"/>
          <w14:cntxtAlts/>
        </w:rPr>
        <w:id w:val="154042960"/>
        <w:docPartObj>
          <w:docPartGallery w:val="Cover Pages"/>
          <w:docPartUnique/>
        </w:docPartObj>
      </w:sdtPr>
      <w:sdtEndPr>
        <w:rPr>
          <w:rFonts w:eastAsiaTheme="minorEastAsia"/>
          <w:bCs w:val="0"/>
          <w:color w:val="0070C0"/>
          <w:sz w:val="24"/>
          <w:szCs w:val="22"/>
        </w:rPr>
      </w:sdtEndPr>
      <w:sdtContent>
        <w:p w14:paraId="5834CE97" w14:textId="05D4B7EB" w:rsidR="0050596D" w:rsidRPr="00993904" w:rsidRDefault="00993904">
          <w:pPr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4CA05DC1" wp14:editId="7056AF2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59050" cy="797560"/>
                <wp:effectExtent l="0" t="0" r="0" b="2540"/>
                <wp:wrapSquare wrapText="bothSides"/>
                <wp:docPr id="114399764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997648" name="Picture 114399764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0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05DC" w:rsidRPr="00993904"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971E2A" wp14:editId="46456D82">
                    <wp:simplePos x="0" y="0"/>
                    <wp:positionH relativeFrom="column">
                      <wp:posOffset>6286500</wp:posOffset>
                    </wp:positionH>
                    <wp:positionV relativeFrom="paragraph">
                      <wp:posOffset>-76200</wp:posOffset>
                    </wp:positionV>
                    <wp:extent cx="438150" cy="381000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FE5389C" id="Rectangle 11" o:spid="_x0000_s1026" style="position:absolute;margin-left:495pt;margin-top:-6pt;width:34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" fillcolor="white [3212]" stroked="f" strokeweight="2.25pt"/>
                </w:pict>
              </mc:Fallback>
            </mc:AlternateContent>
          </w:r>
        </w:p>
        <w:p w14:paraId="7CE66D77" w14:textId="77777777" w:rsidR="001F3552" w:rsidRPr="00993904" w:rsidRDefault="001F3552">
          <w:pPr>
            <w:rPr>
              <w:rFonts w:ascii="Arial" w:hAnsi="Arial" w:cs="Arial"/>
            </w:rPr>
          </w:pPr>
        </w:p>
        <w:p w14:paraId="2F025CAD" w14:textId="77777777" w:rsidR="001F3552" w:rsidRPr="00993904" w:rsidRDefault="001F3552">
          <w:pPr>
            <w:rPr>
              <w:rFonts w:ascii="Arial" w:hAnsi="Arial" w:cs="Arial"/>
            </w:rPr>
          </w:pPr>
        </w:p>
        <w:p w14:paraId="2A0F57B9" w14:textId="77777777" w:rsidR="00C00981" w:rsidRPr="00993904" w:rsidRDefault="00C00981" w:rsidP="00C00981">
          <w:pPr>
            <w:rPr>
              <w:rFonts w:ascii="Arial" w:hAnsi="Arial" w:cs="Arial"/>
            </w:rPr>
          </w:pPr>
        </w:p>
        <w:p w14:paraId="02EBECAF" w14:textId="0AB909C9" w:rsidR="00EC463D" w:rsidRPr="00993904" w:rsidRDefault="002D0955" w:rsidP="00EC463D">
          <w:pPr>
            <w:pStyle w:val="Title"/>
            <w:spacing w:after="100"/>
            <w:rPr>
              <w:rFonts w:ascii="Arial" w:hAnsi="Arial" w:cs="Arial"/>
              <w:color w:val="E68422" w:themeColor="accent3"/>
              <w:sz w:val="96"/>
              <w:szCs w:val="96"/>
            </w:rPr>
          </w:pPr>
          <w:r w:rsidRPr="00993904">
            <w:rPr>
              <w:rFonts w:ascii="Arial" w:hAnsi="Arial" w:cs="Arial"/>
              <w:color w:val="2471B9"/>
              <w:sz w:val="96"/>
              <w:szCs w:val="96"/>
            </w:rPr>
            <w:t>Interview Scoring Template</w:t>
          </w:r>
        </w:p>
      </w:sdtContent>
    </w:sdt>
    <w:p w14:paraId="0900B215" w14:textId="7ABC74CA" w:rsidR="00767165" w:rsidRPr="00993904" w:rsidRDefault="00767165">
      <w:pPr>
        <w:rPr>
          <w:rFonts w:ascii="Arial" w:hAnsi="Arial" w:cs="Arial"/>
        </w:rPr>
      </w:pPr>
    </w:p>
    <w:p w14:paraId="42D2B05D" w14:textId="77777777" w:rsidR="008E6F9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>This template can be used to combine the scores on each selection method and arrive at an overall score for an applicant (use this template for each applicant being assessed)</w:t>
      </w:r>
    </w:p>
    <w:p w14:paraId="000EA1D3" w14:textId="27C4AA1E" w:rsidR="00767165" w:rsidRPr="00993904" w:rsidRDefault="00767165" w:rsidP="008E6F95">
      <w:pPr>
        <w:pStyle w:val="Heading1"/>
        <w:rPr>
          <w:rFonts w:ascii="Arial" w:hAnsi="Arial" w:cs="Arial"/>
          <w:sz w:val="16"/>
          <w:szCs w:val="16"/>
        </w:rPr>
      </w:pPr>
      <w:r w:rsidRPr="00993904">
        <w:rPr>
          <w:rFonts w:ascii="Arial" w:hAnsi="Arial" w:cs="Arial"/>
        </w:rPr>
        <w:t>Instructions</w:t>
      </w:r>
    </w:p>
    <w:p w14:paraId="4C62BA5F" w14:textId="697546C9" w:rsidR="0076716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 xml:space="preserve">In the top row enter the applicant’s name, and the key selection criteria (KSC) for assessment. On the </w:t>
      </w:r>
      <w:proofErr w:type="gramStart"/>
      <w:r w:rsidRPr="00993904">
        <w:rPr>
          <w:rFonts w:ascii="Arial" w:hAnsi="Arial" w:cs="Arial"/>
        </w:rPr>
        <w:t>left hand</w:t>
      </w:r>
      <w:proofErr w:type="gramEnd"/>
      <w:r w:rsidRPr="00993904">
        <w:rPr>
          <w:rFonts w:ascii="Arial" w:hAnsi="Arial" w:cs="Arial"/>
        </w:rPr>
        <w:t xml:space="preserve"> side column, enter the selection </w:t>
      </w:r>
      <w:r w:rsidR="005275E6" w:rsidRPr="00993904">
        <w:rPr>
          <w:rFonts w:ascii="Arial" w:hAnsi="Arial" w:cs="Arial"/>
        </w:rPr>
        <w:t>methods</w:t>
      </w:r>
      <w:r w:rsidRPr="00993904">
        <w:rPr>
          <w:rFonts w:ascii="Arial" w:hAnsi="Arial" w:cs="Arial"/>
        </w:rPr>
        <w:t xml:space="preserve"> used to assess the KSC. It is important to note that every selection </w:t>
      </w:r>
      <w:r w:rsidR="00642DAA" w:rsidRPr="00993904">
        <w:rPr>
          <w:rFonts w:ascii="Arial" w:hAnsi="Arial" w:cs="Arial"/>
        </w:rPr>
        <w:t>method</w:t>
      </w:r>
      <w:r w:rsidRPr="00993904">
        <w:rPr>
          <w:rFonts w:ascii="Arial" w:hAnsi="Arial" w:cs="Arial"/>
        </w:rPr>
        <w:t xml:space="preserve"> will assess each KSC, so areas that are not assessed can be blanked out, e.g. the interview may only assess KSC 1 and KSC 4, so the boxes at KSC 2 and KSC 3 should be blanked out to indicate they are not applicable to that </w:t>
      </w:r>
      <w:proofErr w:type="gramStart"/>
      <w:r w:rsidRPr="00993904">
        <w:rPr>
          <w:rFonts w:ascii="Arial" w:hAnsi="Arial" w:cs="Arial"/>
        </w:rPr>
        <w:t xml:space="preserve">particular </w:t>
      </w:r>
      <w:r w:rsidR="00642DAA" w:rsidRPr="00993904">
        <w:rPr>
          <w:rFonts w:ascii="Arial" w:hAnsi="Arial" w:cs="Arial"/>
        </w:rPr>
        <w:t>method</w:t>
      </w:r>
      <w:proofErr w:type="gramEnd"/>
      <w:r w:rsidRPr="00993904">
        <w:rPr>
          <w:rFonts w:ascii="Arial" w:hAnsi="Arial" w:cs="Arial"/>
        </w:rPr>
        <w:t xml:space="preserve">. </w:t>
      </w:r>
    </w:p>
    <w:p w14:paraId="573C6168" w14:textId="77777777" w:rsidR="00CB5F6C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 xml:space="preserve">Enter the scores for each KSC assessed. Combine, then average, across each KSC to create overall score </w:t>
      </w:r>
    </w:p>
    <w:p w14:paraId="0294BA7D" w14:textId="427680EA" w:rsidR="0076716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>e.g. (3 + 5) / 2 = 4</w:t>
      </w:r>
    </w:p>
    <w:p w14:paraId="1EC304B6" w14:textId="77777777" w:rsidR="0076716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 xml:space="preserve">Include any comments to explain each of the ratings, citing </w:t>
      </w:r>
      <w:proofErr w:type="spellStart"/>
      <w:r w:rsidRPr="00993904">
        <w:rPr>
          <w:rFonts w:ascii="Arial" w:hAnsi="Arial" w:cs="Arial"/>
        </w:rPr>
        <w:t>behavioural</w:t>
      </w:r>
      <w:proofErr w:type="spellEnd"/>
      <w:r w:rsidRPr="00993904">
        <w:rPr>
          <w:rFonts w:ascii="Arial" w:hAnsi="Arial" w:cs="Arial"/>
        </w:rPr>
        <w:t xml:space="preserve"> examples. Areas for development should be noted, as this will either be useful for delivering feedback to unsuccessful applicants or will provide valuable on-the-job information for successful applicants.</w:t>
      </w:r>
    </w:p>
    <w:p w14:paraId="3A986F8B" w14:textId="0FD8938F" w:rsidR="0076716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t>The template below provides examples in italics to assist in completing the template.</w:t>
      </w:r>
    </w:p>
    <w:p w14:paraId="04FC0589" w14:textId="370CC096" w:rsidR="00767165" w:rsidRPr="00993904" w:rsidRDefault="00767165" w:rsidP="002D0955">
      <w:pPr>
        <w:rPr>
          <w:rFonts w:ascii="Arial" w:hAnsi="Arial" w:cs="Arial"/>
        </w:rPr>
      </w:pPr>
      <w:r w:rsidRPr="00993904">
        <w:rPr>
          <w:rFonts w:ascii="Arial" w:hAnsi="Arial" w:cs="Arial"/>
        </w:rPr>
        <w:lastRenderedPageBreak/>
        <w:t xml:space="preserve">Applicant name: </w:t>
      </w:r>
      <w:r w:rsidRPr="00993904">
        <w:rPr>
          <w:rFonts w:ascii="Arial" w:hAnsi="Arial" w:cs="Arial"/>
          <w:i/>
        </w:rPr>
        <w:t>(</w:t>
      </w:r>
      <w:r w:rsidR="00CB21C3" w:rsidRPr="00993904">
        <w:rPr>
          <w:rFonts w:ascii="Arial" w:hAnsi="Arial" w:cs="Arial"/>
          <w:i/>
        </w:rPr>
        <w:t>Leila Hassan</w:t>
      </w:r>
      <w:r w:rsidRPr="00993904">
        <w:rPr>
          <w:rFonts w:ascii="Arial" w:hAnsi="Arial" w:cs="Arial"/>
          <w:i/>
        </w:rPr>
        <w:t>)</w:t>
      </w:r>
    </w:p>
    <w:tbl>
      <w:tblPr>
        <w:tblpPr w:leftFromText="180" w:rightFromText="180" w:vertAnchor="text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97"/>
        <w:gridCol w:w="1907"/>
        <w:gridCol w:w="2019"/>
        <w:gridCol w:w="1663"/>
        <w:gridCol w:w="1534"/>
        <w:gridCol w:w="1546"/>
      </w:tblGrid>
      <w:tr w:rsidR="005D6BBE" w:rsidRPr="00993904" w14:paraId="436D43F8" w14:textId="77777777" w:rsidTr="00993904">
        <w:tc>
          <w:tcPr>
            <w:tcW w:w="694" w:type="pct"/>
            <w:shd w:val="clear" w:color="auto" w:fill="auto"/>
          </w:tcPr>
          <w:p w14:paraId="536D0AAC" w14:textId="07B6423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Selection method</w:t>
            </w:r>
          </w:p>
        </w:tc>
        <w:tc>
          <w:tcPr>
            <w:tcW w:w="947" w:type="pct"/>
            <w:shd w:val="clear" w:color="auto" w:fill="auto"/>
          </w:tcPr>
          <w:p w14:paraId="193F4147" w14:textId="7777777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KSC 1</w:t>
            </w:r>
          </w:p>
        </w:tc>
        <w:tc>
          <w:tcPr>
            <w:tcW w:w="1003" w:type="pct"/>
            <w:shd w:val="clear" w:color="auto" w:fill="auto"/>
          </w:tcPr>
          <w:p w14:paraId="2AB7FDA3" w14:textId="7777777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KSC 2</w:t>
            </w:r>
          </w:p>
        </w:tc>
        <w:tc>
          <w:tcPr>
            <w:tcW w:w="826" w:type="pct"/>
            <w:shd w:val="clear" w:color="auto" w:fill="auto"/>
          </w:tcPr>
          <w:p w14:paraId="6F8A1C92" w14:textId="7777777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KSC 3</w:t>
            </w:r>
          </w:p>
        </w:tc>
        <w:tc>
          <w:tcPr>
            <w:tcW w:w="762" w:type="pct"/>
            <w:shd w:val="clear" w:color="auto" w:fill="auto"/>
          </w:tcPr>
          <w:p w14:paraId="2076FC63" w14:textId="7777777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KSC 4</w:t>
            </w:r>
          </w:p>
        </w:tc>
        <w:tc>
          <w:tcPr>
            <w:tcW w:w="768" w:type="pct"/>
            <w:shd w:val="clear" w:color="auto" w:fill="auto"/>
          </w:tcPr>
          <w:p w14:paraId="637966E5" w14:textId="77777777" w:rsidR="006A46CC" w:rsidRPr="00993904" w:rsidRDefault="006A46CC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>Comments</w:t>
            </w:r>
          </w:p>
        </w:tc>
      </w:tr>
      <w:tr w:rsidR="005D6BBE" w:rsidRPr="00993904" w14:paraId="52A3CE5E" w14:textId="77777777" w:rsidTr="000D7D03">
        <w:tc>
          <w:tcPr>
            <w:tcW w:w="694" w:type="pct"/>
            <w:shd w:val="clear" w:color="auto" w:fill="auto"/>
          </w:tcPr>
          <w:p w14:paraId="02D1A032" w14:textId="77777777" w:rsidR="000C1456" w:rsidRPr="00993904" w:rsidRDefault="000C1456" w:rsidP="000D7D03">
            <w:pPr>
              <w:rPr>
                <w:rFonts w:ascii="Arial" w:hAnsi="Arial" w:cs="Arial"/>
                <w:b/>
              </w:rPr>
            </w:pPr>
          </w:p>
        </w:tc>
        <w:tc>
          <w:tcPr>
            <w:tcW w:w="947" w:type="pct"/>
            <w:shd w:val="clear" w:color="auto" w:fill="auto"/>
          </w:tcPr>
          <w:p w14:paraId="3EFB565C" w14:textId="77777777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 xml:space="preserve">e.g. </w:t>
            </w:r>
          </w:p>
          <w:p w14:paraId="4B2CEA1B" w14:textId="171A962F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>demonstrated understanding of principles and practice of community development</w:t>
            </w:r>
          </w:p>
        </w:tc>
        <w:tc>
          <w:tcPr>
            <w:tcW w:w="1003" w:type="pct"/>
            <w:shd w:val="clear" w:color="auto" w:fill="auto"/>
          </w:tcPr>
          <w:p w14:paraId="151DE0C2" w14:textId="77777777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 xml:space="preserve">e.g. </w:t>
            </w:r>
          </w:p>
          <w:p w14:paraId="364428E0" w14:textId="2C685E17" w:rsidR="000C1456" w:rsidRPr="00993904" w:rsidRDefault="00EC1593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>experi</w:t>
            </w:r>
            <w:r w:rsidR="00CB21C3" w:rsidRPr="00993904">
              <w:rPr>
                <w:rFonts w:ascii="Arial" w:hAnsi="Arial" w:cs="Arial"/>
                <w:i/>
              </w:rPr>
              <w:t>e</w:t>
            </w:r>
            <w:r w:rsidRPr="00993904">
              <w:rPr>
                <w:rFonts w:ascii="Arial" w:hAnsi="Arial" w:cs="Arial"/>
                <w:i/>
              </w:rPr>
              <w:t>nce</w:t>
            </w:r>
            <w:r w:rsidR="000C1456" w:rsidRPr="00993904">
              <w:rPr>
                <w:rFonts w:ascii="Arial" w:hAnsi="Arial" w:cs="Arial"/>
                <w:i/>
              </w:rPr>
              <w:t xml:space="preserve"> of </w:t>
            </w:r>
            <w:proofErr w:type="gramStart"/>
            <w:r w:rsidR="000C1456" w:rsidRPr="00993904">
              <w:rPr>
                <w:rFonts w:ascii="Arial" w:hAnsi="Arial" w:cs="Arial"/>
                <w:i/>
              </w:rPr>
              <w:t>high quality</w:t>
            </w:r>
            <w:proofErr w:type="gramEnd"/>
            <w:r w:rsidR="000C1456" w:rsidRPr="00993904">
              <w:rPr>
                <w:rFonts w:ascii="Arial" w:hAnsi="Arial" w:cs="Arial"/>
                <w:i/>
              </w:rPr>
              <w:t xml:space="preserve"> </w:t>
            </w:r>
            <w:r w:rsidRPr="00993904">
              <w:rPr>
                <w:rFonts w:ascii="Arial" w:hAnsi="Arial" w:cs="Arial"/>
                <w:i/>
              </w:rPr>
              <w:t>community engagement strategi</w:t>
            </w:r>
            <w:r w:rsidR="00CB21C3" w:rsidRPr="00993904">
              <w:rPr>
                <w:rFonts w:ascii="Arial" w:hAnsi="Arial" w:cs="Arial"/>
                <w:i/>
              </w:rPr>
              <w:t>es</w:t>
            </w:r>
          </w:p>
        </w:tc>
        <w:tc>
          <w:tcPr>
            <w:tcW w:w="826" w:type="pct"/>
            <w:shd w:val="clear" w:color="auto" w:fill="auto"/>
          </w:tcPr>
          <w:p w14:paraId="6FE0EE44" w14:textId="77777777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 xml:space="preserve">e.g. </w:t>
            </w:r>
          </w:p>
          <w:p w14:paraId="23219F31" w14:textId="6AB7F45D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>relevant tertiary qualification and or experience</w:t>
            </w:r>
          </w:p>
        </w:tc>
        <w:tc>
          <w:tcPr>
            <w:tcW w:w="762" w:type="pct"/>
            <w:shd w:val="clear" w:color="auto" w:fill="auto"/>
          </w:tcPr>
          <w:p w14:paraId="5BE4D146" w14:textId="77777777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 xml:space="preserve">e.g. </w:t>
            </w:r>
          </w:p>
          <w:p w14:paraId="743D464A" w14:textId="05433E61" w:rsidR="000C1456" w:rsidRPr="00993904" w:rsidRDefault="000C1456" w:rsidP="000D7D03">
            <w:pPr>
              <w:rPr>
                <w:rFonts w:ascii="Arial" w:hAnsi="Arial" w:cs="Arial"/>
                <w:i/>
              </w:rPr>
            </w:pPr>
            <w:r w:rsidRPr="00993904">
              <w:rPr>
                <w:rFonts w:ascii="Arial" w:hAnsi="Arial" w:cs="Arial"/>
                <w:i/>
              </w:rPr>
              <w:t xml:space="preserve">community focused </w:t>
            </w:r>
          </w:p>
        </w:tc>
        <w:tc>
          <w:tcPr>
            <w:tcW w:w="768" w:type="pct"/>
            <w:shd w:val="clear" w:color="auto" w:fill="auto"/>
          </w:tcPr>
          <w:p w14:paraId="3F3E432C" w14:textId="77777777" w:rsidR="000C1456" w:rsidRPr="00993904" w:rsidRDefault="000C1456" w:rsidP="000D7D03">
            <w:pPr>
              <w:rPr>
                <w:rFonts w:ascii="Arial" w:hAnsi="Arial" w:cs="Arial"/>
                <w:b/>
              </w:rPr>
            </w:pPr>
            <w:r w:rsidRPr="00993904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5D6BBE" w:rsidRPr="00993904" w14:paraId="50BAA070" w14:textId="77777777" w:rsidTr="000D7D03">
        <w:trPr>
          <w:trHeight w:val="35"/>
        </w:trPr>
        <w:tc>
          <w:tcPr>
            <w:tcW w:w="694" w:type="pct"/>
            <w:shd w:val="clear" w:color="auto" w:fill="auto"/>
          </w:tcPr>
          <w:p w14:paraId="7130CEC0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Application form</w:t>
            </w:r>
          </w:p>
        </w:tc>
        <w:tc>
          <w:tcPr>
            <w:tcW w:w="947" w:type="pct"/>
            <w:shd w:val="clear" w:color="auto" w:fill="auto"/>
          </w:tcPr>
          <w:p w14:paraId="78789D73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463D2ECD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auto"/>
          </w:tcPr>
          <w:p w14:paraId="34394936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762" w:type="pct"/>
            <w:shd w:val="clear" w:color="auto" w:fill="auto"/>
          </w:tcPr>
          <w:p w14:paraId="14BA752F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1D4DE799" w14:textId="63673A2D" w:rsidR="000C1456" w:rsidRPr="00993904" w:rsidRDefault="00CB21C3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Leila</w:t>
            </w:r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 has a relevant background and has the requisite qualifications to perform in this role.</w:t>
            </w:r>
          </w:p>
        </w:tc>
      </w:tr>
      <w:tr w:rsidR="005D6BBE" w:rsidRPr="00993904" w14:paraId="7E74AADD" w14:textId="77777777" w:rsidTr="000D7D03">
        <w:trPr>
          <w:trHeight w:val="35"/>
        </w:trPr>
        <w:tc>
          <w:tcPr>
            <w:tcW w:w="694" w:type="pct"/>
            <w:shd w:val="clear" w:color="auto" w:fill="auto"/>
          </w:tcPr>
          <w:p w14:paraId="22A9C9F2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Interview</w:t>
            </w:r>
          </w:p>
        </w:tc>
        <w:tc>
          <w:tcPr>
            <w:tcW w:w="947" w:type="pct"/>
            <w:shd w:val="clear" w:color="auto" w:fill="auto"/>
          </w:tcPr>
          <w:p w14:paraId="66B519E9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4CAFE70C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826" w:type="pct"/>
            <w:shd w:val="clear" w:color="auto" w:fill="auto"/>
          </w:tcPr>
          <w:p w14:paraId="133F8450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</w:tcPr>
          <w:p w14:paraId="06C3B972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768" w:type="pct"/>
            <w:shd w:val="clear" w:color="auto" w:fill="auto"/>
          </w:tcPr>
          <w:p w14:paraId="399E06B9" w14:textId="3D8CF88C" w:rsidR="000C1456" w:rsidRPr="00993904" w:rsidRDefault="00700CD0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Leila</w:t>
            </w:r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 demonstrated her understanding of the </w:t>
            </w:r>
            <w:r w:rsidRPr="00993904">
              <w:rPr>
                <w:rFonts w:ascii="Arial" w:hAnsi="Arial" w:cs="Arial"/>
                <w:i/>
                <w:sz w:val="18"/>
                <w:szCs w:val="18"/>
              </w:rPr>
              <w:t xml:space="preserve">principles </w:t>
            </w:r>
            <w:r w:rsidR="005D6BBE" w:rsidRPr="00993904">
              <w:rPr>
                <w:rFonts w:ascii="Arial" w:hAnsi="Arial" w:cs="Arial"/>
                <w:i/>
                <w:sz w:val="18"/>
                <w:szCs w:val="18"/>
              </w:rPr>
              <w:t>and practice of community development</w:t>
            </w:r>
            <w:r w:rsidR="00665A99" w:rsidRPr="00993904">
              <w:rPr>
                <w:rFonts w:ascii="Arial" w:hAnsi="Arial" w:cs="Arial"/>
                <w:i/>
                <w:sz w:val="18"/>
                <w:szCs w:val="18"/>
              </w:rPr>
              <w:t xml:space="preserve"> t</w:t>
            </w:r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hrough her response to the relevant </w:t>
            </w:r>
            <w:proofErr w:type="spellStart"/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>behavioural</w:t>
            </w:r>
            <w:proofErr w:type="spellEnd"/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 interview questions. She also demonstrated through her responses that she is </w:t>
            </w:r>
            <w:r w:rsidR="00665A99" w:rsidRPr="00993904">
              <w:rPr>
                <w:rFonts w:ascii="Arial" w:hAnsi="Arial" w:cs="Arial"/>
                <w:i/>
                <w:sz w:val="18"/>
                <w:szCs w:val="18"/>
              </w:rPr>
              <w:t>community</w:t>
            </w:r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 focused.</w:t>
            </w:r>
          </w:p>
        </w:tc>
      </w:tr>
      <w:tr w:rsidR="005D6BBE" w:rsidRPr="00993904" w14:paraId="54461946" w14:textId="77777777" w:rsidTr="000D7D03">
        <w:trPr>
          <w:trHeight w:val="35"/>
        </w:trPr>
        <w:tc>
          <w:tcPr>
            <w:tcW w:w="694" w:type="pct"/>
            <w:shd w:val="clear" w:color="auto" w:fill="auto"/>
          </w:tcPr>
          <w:p w14:paraId="5CCBE14F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lastRenderedPageBreak/>
              <w:t>Ref. Check</w:t>
            </w:r>
          </w:p>
        </w:tc>
        <w:tc>
          <w:tcPr>
            <w:tcW w:w="947" w:type="pct"/>
            <w:shd w:val="clear" w:color="auto" w:fill="auto"/>
          </w:tcPr>
          <w:p w14:paraId="148F8BD0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1003" w:type="pct"/>
            <w:shd w:val="clear" w:color="auto" w:fill="auto"/>
          </w:tcPr>
          <w:p w14:paraId="61F3648E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826" w:type="pct"/>
            <w:shd w:val="clear" w:color="auto" w:fill="auto"/>
          </w:tcPr>
          <w:p w14:paraId="51658C0D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</w:tcPr>
          <w:p w14:paraId="3FBAC137" w14:textId="77777777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4/5</w:t>
            </w:r>
          </w:p>
        </w:tc>
        <w:tc>
          <w:tcPr>
            <w:tcW w:w="768" w:type="pct"/>
            <w:shd w:val="clear" w:color="auto" w:fill="auto"/>
          </w:tcPr>
          <w:p w14:paraId="79C34BF6" w14:textId="4B82E61B" w:rsidR="000C1456" w:rsidRPr="00993904" w:rsidRDefault="00665A99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>Leila’s</w:t>
            </w:r>
            <w:r w:rsidR="000C1456" w:rsidRPr="00993904">
              <w:rPr>
                <w:rFonts w:ascii="Arial" w:hAnsi="Arial" w:cs="Arial"/>
                <w:i/>
                <w:sz w:val="18"/>
                <w:szCs w:val="18"/>
              </w:rPr>
              <w:t xml:space="preserve"> referee responses supported scores attained through the other selection methods.</w:t>
            </w:r>
          </w:p>
        </w:tc>
      </w:tr>
      <w:tr w:rsidR="005D6BBE" w:rsidRPr="00993904" w14:paraId="54BBD14D" w14:textId="77777777" w:rsidTr="000D7D03">
        <w:trPr>
          <w:trHeight w:val="35"/>
        </w:trPr>
        <w:tc>
          <w:tcPr>
            <w:tcW w:w="694" w:type="pct"/>
            <w:shd w:val="clear" w:color="auto" w:fill="auto"/>
          </w:tcPr>
          <w:p w14:paraId="2044647A" w14:textId="77777777" w:rsidR="000C1456" w:rsidRPr="00993904" w:rsidRDefault="000C1456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i/>
                <w:sz w:val="18"/>
                <w:szCs w:val="18"/>
              </w:rPr>
              <w:t>Overall Score (average of the KSC scores)</w:t>
            </w:r>
          </w:p>
        </w:tc>
        <w:tc>
          <w:tcPr>
            <w:tcW w:w="947" w:type="pct"/>
            <w:shd w:val="clear" w:color="auto" w:fill="auto"/>
          </w:tcPr>
          <w:p w14:paraId="7ACF722F" w14:textId="77777777" w:rsidR="000C1456" w:rsidRPr="00993904" w:rsidRDefault="000C1456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i/>
                <w:sz w:val="18"/>
                <w:szCs w:val="18"/>
              </w:rPr>
              <w:t>4/5</w:t>
            </w:r>
          </w:p>
        </w:tc>
        <w:tc>
          <w:tcPr>
            <w:tcW w:w="1003" w:type="pct"/>
            <w:shd w:val="clear" w:color="auto" w:fill="auto"/>
          </w:tcPr>
          <w:p w14:paraId="035C7B6D" w14:textId="77777777" w:rsidR="000C1456" w:rsidRPr="00993904" w:rsidRDefault="000C1456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i/>
                <w:sz w:val="18"/>
                <w:szCs w:val="18"/>
              </w:rPr>
              <w:t>4/5</w:t>
            </w:r>
          </w:p>
        </w:tc>
        <w:tc>
          <w:tcPr>
            <w:tcW w:w="826" w:type="pct"/>
            <w:shd w:val="clear" w:color="auto" w:fill="auto"/>
          </w:tcPr>
          <w:p w14:paraId="0DF7ABF0" w14:textId="77777777" w:rsidR="000C1456" w:rsidRPr="00993904" w:rsidRDefault="000C1456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i/>
                <w:sz w:val="18"/>
                <w:szCs w:val="18"/>
              </w:rPr>
              <w:t>4/5</w:t>
            </w:r>
          </w:p>
        </w:tc>
        <w:tc>
          <w:tcPr>
            <w:tcW w:w="762" w:type="pct"/>
            <w:shd w:val="clear" w:color="auto" w:fill="auto"/>
          </w:tcPr>
          <w:p w14:paraId="718BD786" w14:textId="77777777" w:rsidR="000C1456" w:rsidRPr="00993904" w:rsidRDefault="000C1456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i/>
                <w:sz w:val="18"/>
                <w:szCs w:val="18"/>
              </w:rPr>
              <w:t>4/5</w:t>
            </w:r>
          </w:p>
        </w:tc>
        <w:tc>
          <w:tcPr>
            <w:tcW w:w="768" w:type="pct"/>
            <w:shd w:val="clear" w:color="auto" w:fill="auto"/>
          </w:tcPr>
          <w:p w14:paraId="2930EB33" w14:textId="6C5EC1D0" w:rsidR="000C1456" w:rsidRPr="00993904" w:rsidRDefault="000C1456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 xml:space="preserve">Overall, </w:t>
            </w:r>
            <w:r w:rsidR="003147D4" w:rsidRPr="00993904">
              <w:rPr>
                <w:rFonts w:ascii="Arial" w:hAnsi="Arial" w:cs="Arial"/>
                <w:i/>
                <w:sz w:val="18"/>
                <w:szCs w:val="18"/>
              </w:rPr>
              <w:t>Leila</w:t>
            </w:r>
            <w:r w:rsidRPr="00993904">
              <w:rPr>
                <w:rFonts w:ascii="Arial" w:hAnsi="Arial" w:cs="Arial"/>
                <w:i/>
                <w:sz w:val="18"/>
                <w:szCs w:val="18"/>
              </w:rPr>
              <w:t xml:space="preserve"> presented as a high </w:t>
            </w:r>
            <w:proofErr w:type="spellStart"/>
            <w:r w:rsidRPr="00993904">
              <w:rPr>
                <w:rFonts w:ascii="Arial" w:hAnsi="Arial" w:cs="Arial"/>
                <w:i/>
                <w:sz w:val="18"/>
                <w:szCs w:val="18"/>
              </w:rPr>
              <w:t>calibre</w:t>
            </w:r>
            <w:proofErr w:type="spellEnd"/>
            <w:r w:rsidRPr="00993904">
              <w:rPr>
                <w:rFonts w:ascii="Arial" w:hAnsi="Arial" w:cs="Arial"/>
                <w:i/>
                <w:sz w:val="18"/>
                <w:szCs w:val="18"/>
              </w:rPr>
              <w:t xml:space="preserve"> candidate who should be seriously considered for this role.</w:t>
            </w:r>
          </w:p>
        </w:tc>
      </w:tr>
      <w:tr w:rsidR="0043338A" w:rsidRPr="00993904" w14:paraId="68813D9D" w14:textId="77777777" w:rsidTr="000D7D03">
        <w:trPr>
          <w:trHeight w:val="35"/>
        </w:trPr>
        <w:tc>
          <w:tcPr>
            <w:tcW w:w="694" w:type="pct"/>
            <w:shd w:val="clear" w:color="auto" w:fill="auto"/>
          </w:tcPr>
          <w:p w14:paraId="57AAE3D4" w14:textId="38ACD629" w:rsidR="0043338A" w:rsidRPr="00993904" w:rsidRDefault="0043338A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b/>
                <w:sz w:val="18"/>
                <w:szCs w:val="18"/>
              </w:rPr>
              <w:t>Development areas</w:t>
            </w:r>
          </w:p>
        </w:tc>
        <w:tc>
          <w:tcPr>
            <w:tcW w:w="947" w:type="pct"/>
            <w:shd w:val="clear" w:color="auto" w:fill="auto"/>
          </w:tcPr>
          <w:p w14:paraId="51F32A9C" w14:textId="77777777" w:rsidR="0043338A" w:rsidRPr="00993904" w:rsidRDefault="0043338A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78B68067" w14:textId="77777777" w:rsidR="0043338A" w:rsidRPr="00993904" w:rsidRDefault="0043338A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auto"/>
          </w:tcPr>
          <w:p w14:paraId="0C68F88A" w14:textId="77777777" w:rsidR="0043338A" w:rsidRPr="00993904" w:rsidRDefault="0043338A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</w:tcPr>
          <w:p w14:paraId="32138932" w14:textId="77777777" w:rsidR="0043338A" w:rsidRPr="00993904" w:rsidRDefault="0043338A" w:rsidP="000D7D0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68" w:type="pct"/>
            <w:shd w:val="clear" w:color="auto" w:fill="auto"/>
          </w:tcPr>
          <w:p w14:paraId="32830C72" w14:textId="6369E5EE" w:rsidR="0043338A" w:rsidRPr="00993904" w:rsidRDefault="008F0413" w:rsidP="000D7D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93904">
              <w:rPr>
                <w:rFonts w:ascii="Arial" w:hAnsi="Arial" w:cs="Arial"/>
                <w:i/>
                <w:sz w:val="18"/>
                <w:szCs w:val="18"/>
              </w:rPr>
              <w:t xml:space="preserve">No </w:t>
            </w:r>
            <w:r w:rsidR="00E926F8" w:rsidRPr="00993904">
              <w:rPr>
                <w:rFonts w:ascii="Arial" w:hAnsi="Arial" w:cs="Arial"/>
                <w:i/>
                <w:sz w:val="18"/>
                <w:szCs w:val="18"/>
              </w:rPr>
              <w:t>significant areas for development arose through the selection process.</w:t>
            </w:r>
          </w:p>
        </w:tc>
      </w:tr>
    </w:tbl>
    <w:p w14:paraId="2AD96D2F" w14:textId="2B880C5C" w:rsidR="00767165" w:rsidRPr="00993904" w:rsidRDefault="00767165" w:rsidP="002D0955">
      <w:pPr>
        <w:rPr>
          <w:rFonts w:ascii="Arial" w:hAnsi="Arial" w:cs="Arial"/>
        </w:rPr>
      </w:pPr>
    </w:p>
    <w:sectPr w:rsidR="00767165" w:rsidRPr="00993904" w:rsidSect="00F2779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080" w:bottom="1440" w:left="108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4C64" w14:textId="77777777" w:rsidR="001A3465" w:rsidRDefault="001A3465">
      <w:pPr>
        <w:spacing w:after="0" w:line="240" w:lineRule="auto"/>
      </w:pPr>
      <w:r>
        <w:separator/>
      </w:r>
    </w:p>
  </w:endnote>
  <w:endnote w:type="continuationSeparator" w:id="0">
    <w:p w14:paraId="5283553D" w14:textId="77777777" w:rsidR="001A3465" w:rsidRDefault="001A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55B" w14:textId="77777777" w:rsidR="0022349E" w:rsidRDefault="0022349E">
    <w:pPr>
      <w:jc w:val="right"/>
    </w:pPr>
  </w:p>
  <w:p w14:paraId="4DF1FD0A" w14:textId="77777777" w:rsidR="0022349E" w:rsidRDefault="0022349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14:paraId="57853F53" w14:textId="77777777" w:rsidR="0022349E" w:rsidRDefault="0022349E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512DE9A0" wp14:editId="69688780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55C9684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2DDB3310" w14:textId="77777777" w:rsidR="0022349E" w:rsidRDefault="0022349E">
    <w:pPr>
      <w:pStyle w:val="NoSpacing"/>
      <w:rPr>
        <w:sz w:val="2"/>
        <w:szCs w:val="2"/>
      </w:rPr>
    </w:pPr>
  </w:p>
  <w:p w14:paraId="4D42B378" w14:textId="77777777" w:rsidR="0022349E" w:rsidRDefault="0022349E"/>
  <w:p w14:paraId="12EBE773" w14:textId="77777777" w:rsidR="0022349E" w:rsidRDefault="0022349E"/>
  <w:p w14:paraId="7F1AECFB" w14:textId="77777777" w:rsidR="0022349E" w:rsidRDefault="00223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4F93" w14:textId="77777777" w:rsidR="0022349E" w:rsidRDefault="0022349E" w:rsidP="00996447">
    <w:pPr>
      <w:jc w:val="right"/>
      <w:rPr>
        <w:color w:val="F0B47A" w:themeColor="accent3" w:themeTint="99"/>
      </w:rPr>
    </w:pPr>
  </w:p>
  <w:p w14:paraId="744F998F" w14:textId="77777777" w:rsidR="0022349E" w:rsidRPr="007675A0" w:rsidRDefault="0022349E" w:rsidP="00996447">
    <w:pPr>
      <w:jc w:val="right"/>
      <w:rPr>
        <w:b/>
        <w:color w:val="F0B47A" w:themeColor="accent3" w:themeTint="99"/>
      </w:rPr>
    </w:pPr>
    <w:r w:rsidRPr="007675A0">
      <w:rPr>
        <w:b/>
        <w:color w:val="F0B47A" w:themeColor="accent3" w:themeTint="99"/>
      </w:rPr>
      <w:fldChar w:fldCharType="begin"/>
    </w:r>
    <w:r w:rsidRPr="007675A0">
      <w:rPr>
        <w:b/>
        <w:color w:val="F0B47A" w:themeColor="accent3" w:themeTint="99"/>
      </w:rPr>
      <w:instrText xml:space="preserve"> PAGE  \* Arabic  \* MERGEFORMAT </w:instrText>
    </w:r>
    <w:r w:rsidRPr="007675A0">
      <w:rPr>
        <w:b/>
        <w:color w:val="F0B47A" w:themeColor="accent3" w:themeTint="99"/>
      </w:rPr>
      <w:fldChar w:fldCharType="separate"/>
    </w:r>
    <w:r w:rsidR="00F27797">
      <w:rPr>
        <w:b/>
        <w:noProof/>
        <w:color w:val="F0B47A" w:themeColor="accent3" w:themeTint="99"/>
      </w:rPr>
      <w:t>2</w:t>
    </w:r>
    <w:r w:rsidRPr="007675A0">
      <w:rPr>
        <w:b/>
        <w:color w:val="F0B47A" w:themeColor="accent3" w:themeTint="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CC1E" w14:textId="77777777" w:rsidR="0022349E" w:rsidRPr="00993904" w:rsidRDefault="0022349E" w:rsidP="000728AF">
    <w:pPr>
      <w:pStyle w:val="Footer"/>
      <w:spacing w:after="120"/>
      <w:jc w:val="right"/>
      <w:rPr>
        <w:rFonts w:ascii="Arial" w:hAnsi="Arial" w:cs="Arial"/>
        <w:b/>
        <w:color w:val="0070C0"/>
        <w:sz w:val="22"/>
      </w:rPr>
    </w:pPr>
    <w:r w:rsidRPr="00993904">
      <w:rPr>
        <w:rFonts w:ascii="Arial" w:hAnsi="Arial" w:cs="Arial"/>
        <w:b/>
        <w:noProof/>
        <w:color w:val="0070C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090AB" wp14:editId="3ECAB894">
              <wp:simplePos x="0" y="0"/>
              <wp:positionH relativeFrom="column">
                <wp:posOffset>-8915400</wp:posOffset>
              </wp:positionH>
              <wp:positionV relativeFrom="paragraph">
                <wp:posOffset>206196</wp:posOffset>
              </wp:positionV>
              <wp:extent cx="16047076" cy="8300"/>
              <wp:effectExtent l="0" t="0" r="31750" b="4254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047076" cy="83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874FF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2pt,16.25pt" to="561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" strokecolor="#f0b47a [1942]" strokeweight=".5pt"/>
          </w:pict>
        </mc:Fallback>
      </mc:AlternateContent>
    </w:r>
    <w:r w:rsidRPr="00993904">
      <w:rPr>
        <w:rStyle w:val="Footerboldblue"/>
        <w:rFonts w:cs="Arial"/>
        <w:color w:val="0070C0"/>
        <w:sz w:val="22"/>
      </w:rPr>
      <w:t>Neighbourhood Houses Victoria Inc</w:t>
    </w:r>
  </w:p>
  <w:p w14:paraId="79A58AC3" w14:textId="5FE22EF6" w:rsidR="0022349E" w:rsidRPr="0099390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993904">
      <w:rPr>
        <w:rFonts w:ascii="Arial" w:hAnsi="Arial" w:cs="Arial"/>
        <w:color w:val="0070C0"/>
        <w:sz w:val="22"/>
      </w:rPr>
      <w:t>Shop B41, Level 4, 744 Bourke Street, Docklands VIC 3008</w:t>
    </w:r>
  </w:p>
  <w:p w14:paraId="5EC96262" w14:textId="53C1BCBB" w:rsidR="0022349E" w:rsidRPr="0099390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993904">
      <w:rPr>
        <w:rFonts w:ascii="Arial" w:hAnsi="Arial" w:cs="Arial"/>
        <w:color w:val="0070C0"/>
        <w:sz w:val="22"/>
      </w:rPr>
      <w:t xml:space="preserve"> (03) 9602 1228  |  info@nhvic.org.au  |  </w:t>
    </w:r>
    <w:r w:rsidR="00117C79" w:rsidRPr="00993904">
      <w:rPr>
        <w:rFonts w:ascii="Arial" w:hAnsi="Arial" w:cs="Arial"/>
        <w:color w:val="0070C0"/>
        <w:sz w:val="22"/>
      </w:rPr>
      <w:t>nhvic.org.au</w:t>
    </w:r>
  </w:p>
  <w:p w14:paraId="7A870D1F" w14:textId="7E84AE5D" w:rsidR="0022349E" w:rsidRPr="0099390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993904">
      <w:rPr>
        <w:rFonts w:ascii="Arial" w:hAnsi="Arial" w:cs="Arial"/>
        <w:color w:val="0070C0"/>
        <w:sz w:val="22"/>
      </w:rPr>
      <w:t>ACN A0001368L  ABN 30 174 498 896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7736" w14:textId="77777777" w:rsidR="001A3465" w:rsidRDefault="001A3465">
      <w:pPr>
        <w:spacing w:after="0" w:line="240" w:lineRule="auto"/>
      </w:pPr>
      <w:r>
        <w:separator/>
      </w:r>
    </w:p>
  </w:footnote>
  <w:footnote w:type="continuationSeparator" w:id="0">
    <w:p w14:paraId="348FA3E3" w14:textId="77777777" w:rsidR="001A3465" w:rsidRDefault="001A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B54" w14:textId="77777777" w:rsidR="0022349E" w:rsidRDefault="0022349E" w:rsidP="00A27E93">
    <w:pPr>
      <w:spacing w:after="0"/>
      <w:jc w:val="center"/>
      <w:rPr>
        <w:color w:val="E4E9EF" w:themeColor="background2"/>
      </w:rPr>
    </w:pPr>
  </w:p>
  <w:p w14:paraId="1D2552D5" w14:textId="0C4AF459" w:rsidR="0022349E" w:rsidRPr="00993904" w:rsidRDefault="009055DF" w:rsidP="00052134">
    <w:pPr>
      <w:spacing w:after="0" w:line="240" w:lineRule="auto"/>
      <w:jc w:val="right"/>
      <w:rPr>
        <w:rFonts w:ascii="Arial" w:hAnsi="Arial" w:cs="Arial"/>
        <w:color w:val="E68422" w:themeColor="accent3"/>
      </w:rPr>
    </w:pPr>
    <w:r w:rsidRPr="00993904">
      <w:rPr>
        <w:rFonts w:ascii="Arial" w:hAnsi="Arial" w:cs="Arial"/>
        <w:color w:val="E68422" w:themeColor="accent3"/>
      </w:rPr>
      <w:t>Interview Scoring Template</w:t>
    </w:r>
  </w:p>
  <w:p w14:paraId="5DF8FDB1" w14:textId="77777777" w:rsidR="0022349E" w:rsidRPr="00052134" w:rsidRDefault="0022349E" w:rsidP="00052134">
    <w:pPr>
      <w:spacing w:after="0" w:line="240" w:lineRule="auto"/>
      <w:jc w:val="right"/>
      <w:rPr>
        <w:color w:val="F0B47A" w:themeColor="accent3" w:themeTint="99"/>
      </w:rPr>
    </w:pPr>
  </w:p>
  <w:p w14:paraId="3BE767CE" w14:textId="77777777" w:rsidR="0022349E" w:rsidRPr="0080090D" w:rsidRDefault="0022349E" w:rsidP="00A27E93">
    <w:pPr>
      <w:spacing w:after="0"/>
      <w:rPr>
        <w:color w:val="E4E9EF" w:themeColor="background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50"/>
    <w:multiLevelType w:val="hybridMultilevel"/>
    <w:tmpl w:val="4E8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7D1"/>
    <w:multiLevelType w:val="hybridMultilevel"/>
    <w:tmpl w:val="04B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C9F"/>
    <w:multiLevelType w:val="hybridMultilevel"/>
    <w:tmpl w:val="0528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F14"/>
    <w:multiLevelType w:val="hybridMultilevel"/>
    <w:tmpl w:val="32E26604"/>
    <w:lvl w:ilvl="0" w:tplc="049C469E">
      <w:start w:val="1"/>
      <w:numFmt w:val="bullet"/>
      <w:lvlText w:val=""/>
      <w:lvlJc w:val="left"/>
      <w:pPr>
        <w:tabs>
          <w:tab w:val="num" w:pos="170"/>
        </w:tabs>
        <w:ind w:left="34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09133A"/>
    <w:multiLevelType w:val="hybridMultilevel"/>
    <w:tmpl w:val="773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D9"/>
    <w:multiLevelType w:val="hybridMultilevel"/>
    <w:tmpl w:val="559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026E"/>
    <w:multiLevelType w:val="hybridMultilevel"/>
    <w:tmpl w:val="A59CEF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100A53"/>
    <w:multiLevelType w:val="hybridMultilevel"/>
    <w:tmpl w:val="9BBAD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05861"/>
    <w:multiLevelType w:val="hybridMultilevel"/>
    <w:tmpl w:val="9076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41938">
    <w:abstractNumId w:val="6"/>
  </w:num>
  <w:num w:numId="2" w16cid:durableId="426077628">
    <w:abstractNumId w:val="8"/>
  </w:num>
  <w:num w:numId="3" w16cid:durableId="866868491">
    <w:abstractNumId w:val="1"/>
  </w:num>
  <w:num w:numId="4" w16cid:durableId="1202127945">
    <w:abstractNumId w:val="7"/>
  </w:num>
  <w:num w:numId="5" w16cid:durableId="723066080">
    <w:abstractNumId w:val="2"/>
  </w:num>
  <w:num w:numId="6" w16cid:durableId="1320386163">
    <w:abstractNumId w:val="4"/>
  </w:num>
  <w:num w:numId="7" w16cid:durableId="1407264640">
    <w:abstractNumId w:val="5"/>
  </w:num>
  <w:num w:numId="8" w16cid:durableId="2110545835">
    <w:abstractNumId w:val="0"/>
  </w:num>
  <w:num w:numId="9" w16cid:durableId="241257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8"/>
    <w:rsid w:val="00052134"/>
    <w:rsid w:val="000728AF"/>
    <w:rsid w:val="00084E5A"/>
    <w:rsid w:val="000B5429"/>
    <w:rsid w:val="000C0505"/>
    <w:rsid w:val="000C1456"/>
    <w:rsid w:val="000D72AF"/>
    <w:rsid w:val="000D7D03"/>
    <w:rsid w:val="000F3EB6"/>
    <w:rsid w:val="0011144B"/>
    <w:rsid w:val="00117C79"/>
    <w:rsid w:val="00162B5D"/>
    <w:rsid w:val="001805DC"/>
    <w:rsid w:val="001A3465"/>
    <w:rsid w:val="001A57E2"/>
    <w:rsid w:val="001C34C5"/>
    <w:rsid w:val="001F3552"/>
    <w:rsid w:val="0020720E"/>
    <w:rsid w:val="0022349E"/>
    <w:rsid w:val="002331A6"/>
    <w:rsid w:val="002700B5"/>
    <w:rsid w:val="002D0955"/>
    <w:rsid w:val="0031266F"/>
    <w:rsid w:val="003147D4"/>
    <w:rsid w:val="00370040"/>
    <w:rsid w:val="003A6895"/>
    <w:rsid w:val="003C6C82"/>
    <w:rsid w:val="00426484"/>
    <w:rsid w:val="0043338A"/>
    <w:rsid w:val="00446930"/>
    <w:rsid w:val="004A613A"/>
    <w:rsid w:val="004D46D3"/>
    <w:rsid w:val="004E35D4"/>
    <w:rsid w:val="0050596D"/>
    <w:rsid w:val="00506212"/>
    <w:rsid w:val="005216D5"/>
    <w:rsid w:val="005275E6"/>
    <w:rsid w:val="005755D9"/>
    <w:rsid w:val="005D3A98"/>
    <w:rsid w:val="005D6BBE"/>
    <w:rsid w:val="005E2811"/>
    <w:rsid w:val="005E2FB9"/>
    <w:rsid w:val="006050A9"/>
    <w:rsid w:val="00616BD9"/>
    <w:rsid w:val="00642DAA"/>
    <w:rsid w:val="00665A99"/>
    <w:rsid w:val="006A46CC"/>
    <w:rsid w:val="006C1EE8"/>
    <w:rsid w:val="006C2020"/>
    <w:rsid w:val="006C2C0F"/>
    <w:rsid w:val="006F6394"/>
    <w:rsid w:val="00700CD0"/>
    <w:rsid w:val="0070327F"/>
    <w:rsid w:val="00715EC6"/>
    <w:rsid w:val="00723FC9"/>
    <w:rsid w:val="00734E09"/>
    <w:rsid w:val="007436AB"/>
    <w:rsid w:val="007652A2"/>
    <w:rsid w:val="00767165"/>
    <w:rsid w:val="007675A0"/>
    <w:rsid w:val="007A4858"/>
    <w:rsid w:val="007D3E46"/>
    <w:rsid w:val="007D3F5B"/>
    <w:rsid w:val="007E1982"/>
    <w:rsid w:val="007F131F"/>
    <w:rsid w:val="007F1486"/>
    <w:rsid w:val="007F620A"/>
    <w:rsid w:val="0080090D"/>
    <w:rsid w:val="008353B4"/>
    <w:rsid w:val="00847A01"/>
    <w:rsid w:val="008B4E60"/>
    <w:rsid w:val="008C497C"/>
    <w:rsid w:val="008E6F95"/>
    <w:rsid w:val="008F0413"/>
    <w:rsid w:val="009055DF"/>
    <w:rsid w:val="00921D75"/>
    <w:rsid w:val="00993904"/>
    <w:rsid w:val="00996447"/>
    <w:rsid w:val="009A2776"/>
    <w:rsid w:val="009B5117"/>
    <w:rsid w:val="009F71C2"/>
    <w:rsid w:val="00A27E93"/>
    <w:rsid w:val="00A41783"/>
    <w:rsid w:val="00AA18F6"/>
    <w:rsid w:val="00AF4E9F"/>
    <w:rsid w:val="00BB6763"/>
    <w:rsid w:val="00BB7DA8"/>
    <w:rsid w:val="00C00275"/>
    <w:rsid w:val="00C00981"/>
    <w:rsid w:val="00C061BF"/>
    <w:rsid w:val="00C566D8"/>
    <w:rsid w:val="00C77F04"/>
    <w:rsid w:val="00CB21C3"/>
    <w:rsid w:val="00CB5F6C"/>
    <w:rsid w:val="00CB60A0"/>
    <w:rsid w:val="00CC3FDC"/>
    <w:rsid w:val="00CD192E"/>
    <w:rsid w:val="00CE5EDB"/>
    <w:rsid w:val="00D20C20"/>
    <w:rsid w:val="00D661A8"/>
    <w:rsid w:val="00D96A0B"/>
    <w:rsid w:val="00DA5E53"/>
    <w:rsid w:val="00DF7330"/>
    <w:rsid w:val="00E074AF"/>
    <w:rsid w:val="00E926F8"/>
    <w:rsid w:val="00EC1593"/>
    <w:rsid w:val="00EC463D"/>
    <w:rsid w:val="00EE6CE3"/>
    <w:rsid w:val="00F02C4C"/>
    <w:rsid w:val="00F050D4"/>
    <w:rsid w:val="00F27797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2995F5"/>
  <w15:docId w15:val="{6A1D2974-CD3F-4E54-BE58-DF50C77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0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D9"/>
    <w:pPr>
      <w:keepNext/>
      <w:keepLines/>
      <w:spacing w:before="720" w:after="360" w:line="240" w:lineRule="auto"/>
      <w:outlineLvl w:val="0"/>
    </w:pPr>
    <w:rPr>
      <w:rFonts w:eastAsiaTheme="majorEastAsia" w:cstheme="majorBidi"/>
      <w:bCs/>
      <w:color w:val="2471B9"/>
      <w:sz w:val="4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6212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1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eastAsiaTheme="majorEastAsia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eastAsiaTheme="majorEastAsia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eastAsiaTheme="majorEastAsia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D9"/>
    <w:rPr>
      <w:rFonts w:asciiTheme="majorHAnsi" w:eastAsiaTheme="majorEastAsia" w:hAnsiTheme="majorHAnsi" w:cstheme="majorBidi"/>
      <w:bCs/>
      <w:color w:val="2471B9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eastAsiaTheme="majorEastAsia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B7DA8"/>
    <w:pPr>
      <w:spacing w:after="160" w:line="240" w:lineRule="auto"/>
      <w:ind w:left="1008" w:hanging="288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i/>
      <w:iCs/>
      <w:color w:val="6076B4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eastAsiaTheme="majorEastAsia"/>
      <w:bCs/>
      <w:i/>
      <w:iCs/>
      <w:color w:val="000000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erboldblue">
    <w:name w:val="Footer bold blue"/>
    <w:rsid w:val="00426484"/>
    <w:rPr>
      <w:rFonts w:ascii="Arial" w:hAnsi="Arial"/>
      <w:b/>
      <w:noProof/>
      <w:color w:val="0F80CC"/>
      <w:sz w:val="20"/>
      <w:lang w:val="en-US"/>
    </w:rPr>
  </w:style>
  <w:style w:type="character" w:customStyle="1" w:styleId="Footerboldorange">
    <w:name w:val="Footer bold orange"/>
    <w:basedOn w:val="DefaultParagraphFont"/>
    <w:rsid w:val="00426484"/>
    <w:rPr>
      <w:rFonts w:ascii="Arial" w:hAnsi="Arial"/>
      <w:b/>
      <w:noProof/>
      <w:color w:val="F46F1B"/>
      <w:sz w:val="20"/>
      <w:lang w:val="en-US"/>
    </w:rPr>
  </w:style>
  <w:style w:type="paragraph" w:customStyle="1" w:styleId="Footerblue">
    <w:name w:val="Footer blue"/>
    <w:basedOn w:val="Footer"/>
    <w:rsid w:val="00426484"/>
    <w:pPr>
      <w:tabs>
        <w:tab w:val="clear" w:pos="4680"/>
        <w:tab w:val="clear" w:pos="9360"/>
        <w:tab w:val="center" w:pos="4320"/>
        <w:tab w:val="right" w:pos="8640"/>
      </w:tabs>
      <w:spacing w:line="276" w:lineRule="auto"/>
      <w:jc w:val="center"/>
    </w:pPr>
    <w:rPr>
      <w:rFonts w:eastAsiaTheme="minorHAnsi"/>
      <w:noProof/>
      <w:color w:val="0F80CC"/>
    </w:rPr>
  </w:style>
  <w:style w:type="table" w:styleId="TableGrid">
    <w:name w:val="Table Grid"/>
    <w:basedOn w:val="TableNormal"/>
    <w:uiPriority w:val="59"/>
    <w:rsid w:val="005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5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5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5D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5D9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55be08-b5d3-4f13-b158-bf089314da1c">
      <UserInfo>
        <DisplayName>Karen Washfold</DisplayName>
        <AccountId>26</AccountId>
        <AccountType/>
      </UserInfo>
    </SharedWithUsers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5450-F7CD-495B-BF79-E78AB0A4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18C3D-F43A-4529-B0B2-EA04E4E4E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29479-C75F-4099-94F2-02E02CF13D48}">
  <ds:schemaRefs>
    <ds:schemaRef ds:uri="http://schemas.microsoft.com/office/2006/metadata/properties"/>
    <ds:schemaRef ds:uri="http://schemas.microsoft.com/office/infopath/2007/PartnerControls"/>
    <ds:schemaRef ds:uri="6855be08-b5d3-4f13-b158-bf089314da1c"/>
    <ds:schemaRef ds:uri="683f366c-05fb-4be4-9334-79ee91b37a6e"/>
    <ds:schemaRef ds:uri="2b102171-2659-46a1-9f74-81a4bcf42816"/>
  </ds:schemaRefs>
</ds:datastoreItem>
</file>

<file path=customXml/itemProps4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57F572BE-E163-4FFD-AD8E-D92935F0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NHVic CEO Report</vt:lpstr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NHVic CEO Report</dc:title>
  <dc:subject>May 2018</dc:subject>
  <dc:creator>Petro Tsalikis</dc:creator>
  <cp:lastModifiedBy>Brittany Prentice</cp:lastModifiedBy>
  <cp:revision>34</cp:revision>
  <cp:lastPrinted>2018-08-29T01:35:00Z</cp:lastPrinted>
  <dcterms:created xsi:type="dcterms:W3CDTF">2019-03-06T02:13:00Z</dcterms:created>
  <dcterms:modified xsi:type="dcterms:W3CDTF">2025-06-13T04:19:00Z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AuthorIds_UIVersion_512">
    <vt:lpwstr>35</vt:lpwstr>
  </property>
  <property fmtid="{D5CDD505-2E9C-101B-9397-08002B2CF9AE}" pid="4" name="SharedWithUsers">
    <vt:lpwstr>26;#Karen Washfold</vt:lpwstr>
  </property>
  <property fmtid="{D5CDD505-2E9C-101B-9397-08002B2CF9AE}" pid="5" name="MediaServiceImageTags">
    <vt:lpwstr/>
  </property>
</Properties>
</file>