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000000" w:themeColor="text1"/>
          <w:sz w:val="44"/>
          <w:szCs w:val="24"/>
        </w:rPr>
        <w:id w:val="154042960"/>
        <w:docPartObj>
          <w:docPartGallery w:val="Cover Pages"/>
          <w:docPartUnique/>
        </w:docPartObj>
      </w:sdtPr>
      <w:sdtEndPr>
        <w:rPr>
          <w:rFonts w:eastAsiaTheme="minorHAnsi"/>
          <w:bCs w:val="0"/>
          <w:color w:val="auto"/>
          <w:sz w:val="24"/>
          <w:szCs w:val="22"/>
        </w:rPr>
      </w:sdtEndPr>
      <w:sdtContent>
        <w:p w14:paraId="7BC53C81" w14:textId="62361B8A" w:rsidR="00B91A11" w:rsidRPr="004F3010" w:rsidRDefault="004F3010" w:rsidP="006D75BA">
          <w:pPr>
            <w:tabs>
              <w:tab w:val="left" w:pos="1005"/>
            </w:tabs>
            <w:rPr>
              <w:rFonts w:ascii="Arial" w:hAnsi="Arial" w:cs="Arial"/>
              <w:color w:val="000000" w:themeColor="text1"/>
              <w:sz w:val="36"/>
            </w:rPr>
          </w:pPr>
          <w:r>
            <w:rPr>
              <w:rFonts w:ascii="Arial" w:eastAsiaTheme="majorEastAsia" w:hAnsi="Arial" w:cs="Arial"/>
              <w:noProof/>
              <w:color w:val="000000" w:themeColor="text1"/>
              <w:spacing w:val="5"/>
              <w:kern w:val="28"/>
              <w:sz w:val="96"/>
              <w:szCs w:val="56"/>
              <w:lang w:val="en-AU" w:eastAsia="en-AU"/>
            </w:rPr>
            <w:drawing>
              <wp:anchor distT="0" distB="0" distL="114300" distR="114300" simplePos="0" relativeHeight="251658752" behindDoc="0" locked="0" layoutInCell="1" allowOverlap="1" wp14:anchorId="50CB5CBE" wp14:editId="3B940DCC">
                <wp:simplePos x="0" y="0"/>
                <wp:positionH relativeFrom="margin">
                  <wp:align>right</wp:align>
                </wp:positionH>
                <wp:positionV relativeFrom="paragraph">
                  <wp:posOffset>0</wp:posOffset>
                </wp:positionV>
                <wp:extent cx="939800" cy="996950"/>
                <wp:effectExtent l="0" t="0" r="0" b="0"/>
                <wp:wrapSquare wrapText="bothSides"/>
                <wp:docPr id="1460433743" name="Picture 5" descr="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33743" name="Picture 5" descr="A heart in a house&#10;&#10;AI-generated content may be incorrect."/>
                        <pic:cNvPicPr/>
                      </pic:nvPicPr>
                      <pic:blipFill>
                        <a:blip r:embed="rId12"/>
                        <a:stretch>
                          <a:fillRect/>
                        </a:stretch>
                      </pic:blipFill>
                      <pic:spPr>
                        <a:xfrm>
                          <a:off x="0" y="0"/>
                          <a:ext cx="939800" cy="996950"/>
                        </a:xfrm>
                        <a:prstGeom prst="rect">
                          <a:avLst/>
                        </a:prstGeom>
                      </pic:spPr>
                    </pic:pic>
                  </a:graphicData>
                </a:graphic>
                <wp14:sizeRelH relativeFrom="margin">
                  <wp14:pctWidth>0</wp14:pctWidth>
                </wp14:sizeRelH>
                <wp14:sizeRelV relativeFrom="margin">
                  <wp14:pctHeight>0</wp14:pctHeight>
                </wp14:sizeRelV>
              </wp:anchor>
            </w:drawing>
          </w:r>
          <w:r w:rsidR="001805DC" w:rsidRPr="004F3010">
            <w:rPr>
              <w:rFonts w:ascii="Arial" w:eastAsiaTheme="majorEastAsia" w:hAnsi="Arial" w:cs="Arial"/>
              <w:noProof/>
              <w:color w:val="000000" w:themeColor="text1"/>
              <w:spacing w:val="5"/>
              <w:kern w:val="28"/>
              <w:sz w:val="96"/>
              <w:szCs w:val="56"/>
              <w:lang w:val="en-AU" w:eastAsia="en-AU"/>
            </w:rPr>
            <mc:AlternateContent>
              <mc:Choice Requires="wps">
                <w:drawing>
                  <wp:anchor distT="0" distB="0" distL="114300" distR="114300" simplePos="0" relativeHeight="251657728" behindDoc="0" locked="0" layoutInCell="1" allowOverlap="1" wp14:anchorId="09971E2A" wp14:editId="071D5982">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38244" id="Rectangle 11" o:spid="_x0000_s1026" style="position:absolute;margin-left:495pt;margin-top:-6pt;width:34.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6D5A6616" w14:textId="77777777" w:rsidR="008E493E" w:rsidRPr="004F3010" w:rsidRDefault="008E493E" w:rsidP="00E14183">
          <w:pPr>
            <w:rPr>
              <w:rFonts w:ascii="Arial" w:hAnsi="Arial" w:cs="Arial"/>
              <w:color w:val="000000" w:themeColor="text1"/>
              <w:sz w:val="28"/>
              <w:lang w:val="en-AU"/>
            </w:rPr>
          </w:pPr>
          <w:r w:rsidRPr="004F3010">
            <w:rPr>
              <w:rFonts w:ascii="Arial" w:hAnsi="Arial" w:cs="Arial"/>
              <w:color w:val="000000" w:themeColor="text1"/>
              <w:sz w:val="28"/>
            </w:rPr>
            <w:t>(</w:t>
          </w:r>
          <w:proofErr w:type="spellStart"/>
          <w:r w:rsidRPr="004F3010">
            <w:rPr>
              <w:rFonts w:ascii="Arial" w:hAnsi="Arial" w:cs="Arial"/>
              <w:color w:val="000000" w:themeColor="text1"/>
              <w:sz w:val="28"/>
            </w:rPr>
            <w:t>Localtown</w:t>
          </w:r>
          <w:proofErr w:type="spellEnd"/>
          <w:r w:rsidRPr="004F3010">
            <w:rPr>
              <w:rFonts w:ascii="Arial" w:hAnsi="Arial" w:cs="Arial"/>
              <w:color w:val="000000" w:themeColor="text1"/>
              <w:sz w:val="28"/>
            </w:rPr>
            <w:t xml:space="preserve"> </w:t>
          </w:r>
          <w:r w:rsidR="006D75BA" w:rsidRPr="004F3010">
            <w:rPr>
              <w:rFonts w:ascii="Arial" w:hAnsi="Arial" w:cs="Arial"/>
              <w:color w:val="000000" w:themeColor="text1"/>
              <w:sz w:val="28"/>
            </w:rPr>
            <w:t>Neighbourhood House</w:t>
          </w:r>
          <w:r w:rsidR="006D75BA" w:rsidRPr="004F3010">
            <w:rPr>
              <w:rFonts w:ascii="Arial" w:hAnsi="Arial" w:cs="Arial"/>
              <w:color w:val="000000" w:themeColor="text1"/>
              <w:sz w:val="28"/>
              <w:lang w:val="en-AU"/>
            </w:rPr>
            <w:t>)</w:t>
          </w:r>
          <w:r w:rsidRPr="004F3010">
            <w:rPr>
              <w:rFonts w:ascii="Arial" w:hAnsi="Arial" w:cs="Arial"/>
              <w:color w:val="000000" w:themeColor="text1"/>
              <w:sz w:val="28"/>
              <w:lang w:val="en-AU"/>
            </w:rPr>
            <w:t xml:space="preserve"> </w:t>
          </w:r>
        </w:p>
        <w:p w14:paraId="2CA7D225" w14:textId="77777777" w:rsidR="008E559D" w:rsidRPr="004F3010" w:rsidRDefault="008E559D" w:rsidP="00F43648">
          <w:pPr>
            <w:pStyle w:val="Heading1"/>
            <w:rPr>
              <w:rFonts w:ascii="Arial" w:hAnsi="Arial" w:cs="Arial"/>
              <w:color w:val="auto"/>
            </w:rPr>
          </w:pPr>
        </w:p>
        <w:p w14:paraId="3EEE582A" w14:textId="1FB98ECB" w:rsidR="004214F0" w:rsidRPr="004F3010" w:rsidRDefault="00342A06" w:rsidP="00F43648">
          <w:pPr>
            <w:pStyle w:val="Heading1"/>
            <w:rPr>
              <w:rFonts w:ascii="Arial" w:hAnsi="Arial" w:cs="Arial"/>
              <w:color w:val="auto"/>
            </w:rPr>
          </w:pPr>
          <w:r w:rsidRPr="004F3010">
            <w:rPr>
              <w:rFonts w:ascii="Arial" w:hAnsi="Arial" w:cs="Arial"/>
              <w:color w:val="auto"/>
            </w:rPr>
            <w:t>Budget Development &amp; Monitoring Policy</w:t>
          </w:r>
        </w:p>
        <w:p w14:paraId="4AF2E478" w14:textId="1CD7FB3D" w:rsidR="00B91A11" w:rsidRPr="004F3010" w:rsidRDefault="00B91A11" w:rsidP="00F43648">
          <w:pPr>
            <w:pStyle w:val="Heading2"/>
            <w:rPr>
              <w:rFonts w:ascii="Arial" w:hAnsi="Arial" w:cs="Arial"/>
            </w:rPr>
          </w:pPr>
          <w:r w:rsidRPr="004F3010">
            <w:rPr>
              <w:rFonts w:ascii="Arial" w:hAnsi="Arial" w:cs="Arial"/>
            </w:rPr>
            <w:t>Document Control</w:t>
          </w:r>
        </w:p>
        <w:tbl>
          <w:tblPr>
            <w:tblStyle w:val="TableGrid"/>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517"/>
            <w:gridCol w:w="2518"/>
            <w:gridCol w:w="2517"/>
            <w:gridCol w:w="2518"/>
          </w:tblGrid>
          <w:tr w:rsidR="00B91A11" w:rsidRPr="004F3010" w14:paraId="0045253A" w14:textId="77777777" w:rsidTr="00340D61">
            <w:trPr>
              <w:trHeight w:val="510"/>
            </w:trPr>
            <w:tc>
              <w:tcPr>
                <w:tcW w:w="2517" w:type="dxa"/>
                <w:tcBorders>
                  <w:left w:val="single" w:sz="4" w:space="0" w:color="auto"/>
                </w:tcBorders>
                <w:vAlign w:val="center"/>
              </w:tcPr>
              <w:p w14:paraId="78EC6A46" w14:textId="2683DFB5" w:rsidR="002D3ECD" w:rsidRPr="004F3010" w:rsidRDefault="002D3ECD" w:rsidP="00F44750">
                <w:pPr>
                  <w:rPr>
                    <w:rFonts w:ascii="Arial" w:hAnsi="Arial" w:cs="Arial"/>
                    <w:b/>
                    <w:color w:val="000000" w:themeColor="text1"/>
                  </w:rPr>
                </w:pPr>
                <w:r w:rsidRPr="004F3010">
                  <w:rPr>
                    <w:rFonts w:ascii="Arial" w:hAnsi="Arial" w:cs="Arial"/>
                    <w:b/>
                    <w:color w:val="000000" w:themeColor="text1"/>
                  </w:rPr>
                  <w:t>Policy Title:</w:t>
                </w:r>
              </w:p>
            </w:tc>
            <w:tc>
              <w:tcPr>
                <w:tcW w:w="7553" w:type="dxa"/>
                <w:gridSpan w:val="3"/>
                <w:tcBorders>
                  <w:right w:val="single" w:sz="4" w:space="0" w:color="auto"/>
                </w:tcBorders>
                <w:vAlign w:val="center"/>
              </w:tcPr>
              <w:p w14:paraId="20B5FA04" w14:textId="2EF75B88" w:rsidR="002D3ECD" w:rsidRPr="004F3010" w:rsidRDefault="00342A06" w:rsidP="00F44750">
                <w:pPr>
                  <w:rPr>
                    <w:rFonts w:ascii="Arial" w:hAnsi="Arial" w:cs="Arial"/>
                    <w:color w:val="000000" w:themeColor="text1"/>
                  </w:rPr>
                </w:pPr>
                <w:r w:rsidRPr="004F3010">
                  <w:rPr>
                    <w:rFonts w:ascii="Arial" w:hAnsi="Arial" w:cs="Arial"/>
                    <w:color w:val="000000" w:themeColor="text1"/>
                  </w:rPr>
                  <w:t>Budget Development &amp; Monitoring Policy</w:t>
                </w:r>
              </w:p>
            </w:tc>
          </w:tr>
          <w:tr w:rsidR="00214AAE" w:rsidRPr="004F3010" w14:paraId="12E525BF" w14:textId="77777777" w:rsidTr="00340D61">
            <w:trPr>
              <w:trHeight w:val="510"/>
            </w:trPr>
            <w:tc>
              <w:tcPr>
                <w:tcW w:w="2517" w:type="dxa"/>
                <w:tcBorders>
                  <w:left w:val="single" w:sz="4" w:space="0" w:color="auto"/>
                </w:tcBorders>
                <w:vAlign w:val="center"/>
              </w:tcPr>
              <w:p w14:paraId="7E1269FA" w14:textId="69093BD4" w:rsidR="00214AAE" w:rsidRPr="004F3010" w:rsidRDefault="00214AAE" w:rsidP="00F44750">
                <w:pPr>
                  <w:rPr>
                    <w:rFonts w:ascii="Arial" w:hAnsi="Arial" w:cs="Arial"/>
                    <w:b/>
                    <w:color w:val="000000" w:themeColor="text1"/>
                  </w:rPr>
                </w:pPr>
                <w:r w:rsidRPr="004F3010">
                  <w:rPr>
                    <w:rFonts w:ascii="Arial" w:hAnsi="Arial" w:cs="Arial"/>
                    <w:b/>
                    <w:color w:val="000000" w:themeColor="text1"/>
                  </w:rPr>
                  <w:t>Version Number:</w:t>
                </w:r>
              </w:p>
            </w:tc>
            <w:tc>
              <w:tcPr>
                <w:tcW w:w="7553" w:type="dxa"/>
                <w:gridSpan w:val="3"/>
                <w:tcBorders>
                  <w:right w:val="single" w:sz="4" w:space="0" w:color="auto"/>
                </w:tcBorders>
                <w:vAlign w:val="center"/>
              </w:tcPr>
              <w:p w14:paraId="7C9C4A8E" w14:textId="3C255E3F" w:rsidR="00214AAE" w:rsidRPr="004F3010" w:rsidRDefault="00214AAE" w:rsidP="00F44750">
                <w:pPr>
                  <w:rPr>
                    <w:rFonts w:ascii="Arial" w:hAnsi="Arial" w:cs="Arial"/>
                    <w:color w:val="000000" w:themeColor="text1"/>
                  </w:rPr>
                </w:pPr>
              </w:p>
            </w:tc>
          </w:tr>
          <w:tr w:rsidR="00B91A11" w:rsidRPr="004F3010" w14:paraId="62F85B7C" w14:textId="77777777" w:rsidTr="00340D61">
            <w:trPr>
              <w:trHeight w:val="510"/>
            </w:trPr>
            <w:tc>
              <w:tcPr>
                <w:tcW w:w="2517" w:type="dxa"/>
                <w:tcBorders>
                  <w:left w:val="single" w:sz="4" w:space="0" w:color="auto"/>
                </w:tcBorders>
                <w:vAlign w:val="center"/>
              </w:tcPr>
              <w:p w14:paraId="32B11FC5" w14:textId="6A32DA8C" w:rsidR="002D3ECD" w:rsidRPr="004F3010" w:rsidRDefault="002D3ECD" w:rsidP="00F44750">
                <w:pPr>
                  <w:rPr>
                    <w:rFonts w:ascii="Arial" w:hAnsi="Arial" w:cs="Arial"/>
                    <w:b/>
                    <w:color w:val="000000" w:themeColor="text1"/>
                  </w:rPr>
                </w:pPr>
                <w:r w:rsidRPr="004F3010">
                  <w:rPr>
                    <w:rFonts w:ascii="Arial" w:hAnsi="Arial" w:cs="Arial"/>
                    <w:b/>
                    <w:color w:val="000000" w:themeColor="text1"/>
                  </w:rPr>
                  <w:t>Date Ratified:</w:t>
                </w:r>
              </w:p>
            </w:tc>
            <w:tc>
              <w:tcPr>
                <w:tcW w:w="2518" w:type="dxa"/>
                <w:vAlign w:val="center"/>
              </w:tcPr>
              <w:p w14:paraId="7BE5C31C" w14:textId="54A75693" w:rsidR="002D3ECD" w:rsidRPr="004F3010" w:rsidRDefault="002D3ECD" w:rsidP="00F44750">
                <w:pPr>
                  <w:rPr>
                    <w:rFonts w:ascii="Arial" w:hAnsi="Arial" w:cs="Arial"/>
                    <w:color w:val="000000" w:themeColor="text1"/>
                  </w:rPr>
                </w:pPr>
              </w:p>
            </w:tc>
            <w:tc>
              <w:tcPr>
                <w:tcW w:w="2517" w:type="dxa"/>
                <w:vAlign w:val="center"/>
              </w:tcPr>
              <w:p w14:paraId="1F6D9069" w14:textId="4B0F4940" w:rsidR="002D3ECD" w:rsidRPr="004F3010" w:rsidRDefault="002D3ECD" w:rsidP="00F44750">
                <w:pPr>
                  <w:rPr>
                    <w:rFonts w:ascii="Arial" w:hAnsi="Arial" w:cs="Arial"/>
                    <w:b/>
                    <w:color w:val="000000" w:themeColor="text1"/>
                  </w:rPr>
                </w:pPr>
                <w:r w:rsidRPr="004F3010">
                  <w:rPr>
                    <w:rFonts w:ascii="Arial" w:hAnsi="Arial" w:cs="Arial"/>
                    <w:b/>
                    <w:color w:val="000000" w:themeColor="text1"/>
                  </w:rPr>
                  <w:t>Review Date:</w:t>
                </w:r>
              </w:p>
            </w:tc>
            <w:tc>
              <w:tcPr>
                <w:tcW w:w="2518" w:type="dxa"/>
                <w:tcBorders>
                  <w:right w:val="single" w:sz="4" w:space="0" w:color="auto"/>
                </w:tcBorders>
                <w:vAlign w:val="center"/>
              </w:tcPr>
              <w:p w14:paraId="387B0840" w14:textId="3B935D42" w:rsidR="002D3ECD" w:rsidRPr="004F3010" w:rsidRDefault="002D3ECD" w:rsidP="00F44750">
                <w:pPr>
                  <w:rPr>
                    <w:rFonts w:ascii="Arial" w:hAnsi="Arial" w:cs="Arial"/>
                    <w:color w:val="000000" w:themeColor="text1"/>
                  </w:rPr>
                </w:pPr>
              </w:p>
            </w:tc>
          </w:tr>
          <w:tr w:rsidR="00B91A11" w:rsidRPr="004F3010" w14:paraId="361FF79D" w14:textId="77777777" w:rsidTr="00016B57">
            <w:trPr>
              <w:trHeight w:val="510"/>
            </w:trPr>
            <w:tc>
              <w:tcPr>
                <w:tcW w:w="10070" w:type="dxa"/>
                <w:gridSpan w:val="4"/>
                <w:tcBorders>
                  <w:left w:val="nil"/>
                  <w:bottom w:val="single" w:sz="8" w:space="0" w:color="404040" w:themeColor="text1" w:themeTint="BF"/>
                  <w:right w:val="nil"/>
                </w:tcBorders>
                <w:vAlign w:val="center"/>
              </w:tcPr>
              <w:p w14:paraId="3FCE6B89" w14:textId="23385848" w:rsidR="002D3ECD" w:rsidRPr="004F3010" w:rsidRDefault="00F44750" w:rsidP="00B17438">
                <w:pPr>
                  <w:pStyle w:val="Heading2"/>
                  <w:rPr>
                    <w:rFonts w:ascii="Arial" w:hAnsi="Arial" w:cs="Arial"/>
                  </w:rPr>
                </w:pPr>
                <w:r w:rsidRPr="004F3010">
                  <w:rPr>
                    <w:rFonts w:ascii="Arial" w:hAnsi="Arial" w:cs="Arial"/>
                  </w:rPr>
                  <w:t>Relevant standards, legislation and other d</w:t>
                </w:r>
                <w:r w:rsidR="002D3ECD" w:rsidRPr="004F3010">
                  <w:rPr>
                    <w:rFonts w:ascii="Arial" w:hAnsi="Arial" w:cs="Arial"/>
                  </w:rPr>
                  <w:t>ocuments:</w:t>
                </w:r>
              </w:p>
              <w:p w14:paraId="5DEB0AA8" w14:textId="727C74C7" w:rsidR="002D3ECD" w:rsidRPr="004F3010" w:rsidRDefault="005F4086" w:rsidP="00F44750">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NHACE Agreement 20</w:t>
                </w:r>
                <w:r w:rsidR="00331D20" w:rsidRPr="004F3010">
                  <w:rPr>
                    <w:rFonts w:ascii="Arial" w:hAnsi="Arial" w:cs="Arial"/>
                    <w:color w:val="000000" w:themeColor="text1"/>
                  </w:rPr>
                  <w:t>16</w:t>
                </w:r>
              </w:p>
              <w:p w14:paraId="2B98DAB3" w14:textId="692C2220" w:rsidR="00B65A75" w:rsidRPr="004F3010" w:rsidRDefault="00B65A75" w:rsidP="00F44750">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DHHS Funding and Service Agreement</w:t>
                </w:r>
              </w:p>
              <w:p w14:paraId="2E581EFA" w14:textId="113C4F04" w:rsidR="00D413F6" w:rsidRPr="004F3010" w:rsidRDefault="009B3FE3" w:rsidP="00F44750">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Long Service Benefits Portability Act 2019 (Act)</w:t>
                </w:r>
              </w:p>
              <w:p w14:paraId="51B0150F" w14:textId="2BD24AF0" w:rsidR="0080084D" w:rsidRPr="004F3010" w:rsidRDefault="0080084D" w:rsidP="0080084D">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AASB 2018-8 Amendments to Australian Accounting Standards – Right-of-use Assets of Not-for-Profit Entities</w:t>
                </w:r>
              </w:p>
              <w:p w14:paraId="5699AB16" w14:textId="77777777" w:rsidR="002D3ECD" w:rsidRPr="004F3010" w:rsidRDefault="002D3ECD" w:rsidP="00B17438">
                <w:pPr>
                  <w:ind w:left="360"/>
                  <w:rPr>
                    <w:rFonts w:ascii="Arial" w:hAnsi="Arial" w:cs="Arial"/>
                    <w:color w:val="000000" w:themeColor="text1"/>
                  </w:rPr>
                </w:pPr>
              </w:p>
              <w:p w14:paraId="188EB770" w14:textId="1225FE4E" w:rsidR="00B17438" w:rsidRPr="004F3010" w:rsidRDefault="00B17438" w:rsidP="00B17438">
                <w:pPr>
                  <w:ind w:left="360"/>
                  <w:rPr>
                    <w:rFonts w:ascii="Arial" w:hAnsi="Arial" w:cs="Arial"/>
                    <w:color w:val="000000" w:themeColor="text1"/>
                  </w:rPr>
                </w:pPr>
              </w:p>
            </w:tc>
          </w:tr>
          <w:tr w:rsidR="00B91A11" w:rsidRPr="004F3010" w14:paraId="291DA9E8" w14:textId="77777777" w:rsidTr="00016B57">
            <w:trPr>
              <w:trHeight w:val="510"/>
            </w:trPr>
            <w:tc>
              <w:tcPr>
                <w:tcW w:w="10070" w:type="dxa"/>
                <w:gridSpan w:val="4"/>
                <w:tcBorders>
                  <w:left w:val="single" w:sz="4" w:space="0" w:color="auto"/>
                  <w:bottom w:val="single" w:sz="8" w:space="0" w:color="404040" w:themeColor="text1" w:themeTint="BF"/>
                  <w:right w:val="single" w:sz="4" w:space="0" w:color="auto"/>
                </w:tcBorders>
                <w:vAlign w:val="center"/>
              </w:tcPr>
              <w:p w14:paraId="002BBDD1" w14:textId="4B1582E6" w:rsidR="00F44750" w:rsidRPr="004F3010" w:rsidRDefault="00F44750" w:rsidP="00F44750">
                <w:pPr>
                  <w:rPr>
                    <w:rFonts w:ascii="Arial" w:hAnsi="Arial" w:cs="Arial"/>
                    <w:color w:val="000000" w:themeColor="text1"/>
                  </w:rPr>
                </w:pPr>
                <w:r w:rsidRPr="004F3010">
                  <w:rPr>
                    <w:rFonts w:ascii="Arial" w:hAnsi="Arial" w:cs="Arial"/>
                    <w:b/>
                    <w:color w:val="000000" w:themeColor="text1"/>
                  </w:rPr>
                  <w:t>Definitions</w:t>
                </w:r>
                <w:r w:rsidR="00016B57" w:rsidRPr="004F3010">
                  <w:rPr>
                    <w:rFonts w:ascii="Arial" w:hAnsi="Arial" w:cs="Arial"/>
                    <w:b/>
                    <w:color w:val="000000" w:themeColor="text1"/>
                  </w:rPr>
                  <w:t xml:space="preserve">: </w:t>
                </w:r>
                <w:r w:rsidR="00016B57" w:rsidRPr="004F3010">
                  <w:rPr>
                    <w:rFonts w:ascii="Arial" w:hAnsi="Arial" w:cs="Arial"/>
                    <w:color w:val="000000" w:themeColor="text1"/>
                  </w:rPr>
                  <w:t>(define key terms)</w:t>
                </w:r>
              </w:p>
            </w:tc>
          </w:tr>
          <w:tr w:rsidR="00B91A11" w:rsidRPr="004F3010" w14:paraId="64EA1B5D" w14:textId="77777777" w:rsidTr="00016B57">
            <w:trPr>
              <w:trHeight w:val="510"/>
            </w:trPr>
            <w:tc>
              <w:tcPr>
                <w:tcW w:w="2517" w:type="dxa"/>
                <w:tcBorders>
                  <w:left w:val="single" w:sz="4" w:space="0" w:color="auto"/>
                  <w:right w:val="single" w:sz="8" w:space="0" w:color="404040" w:themeColor="text1" w:themeTint="BF"/>
                </w:tcBorders>
                <w:vAlign w:val="center"/>
              </w:tcPr>
              <w:p w14:paraId="5785F89D" w14:textId="4097FD6D" w:rsidR="00F44750" w:rsidRPr="004F3010" w:rsidRDefault="00F44750" w:rsidP="00F44750">
                <w:pPr>
                  <w:rPr>
                    <w:rFonts w:ascii="Arial" w:hAnsi="Arial" w:cs="Arial"/>
                    <w:b/>
                    <w:color w:val="000000" w:themeColor="text1"/>
                  </w:rPr>
                </w:pPr>
              </w:p>
            </w:tc>
            <w:tc>
              <w:tcPr>
                <w:tcW w:w="7553" w:type="dxa"/>
                <w:gridSpan w:val="3"/>
                <w:tcBorders>
                  <w:left w:val="single" w:sz="8" w:space="0" w:color="404040" w:themeColor="text1" w:themeTint="BF"/>
                  <w:right w:val="single" w:sz="4" w:space="0" w:color="auto"/>
                </w:tcBorders>
                <w:vAlign w:val="center"/>
              </w:tcPr>
              <w:p w14:paraId="2847C8AB" w14:textId="438AD847" w:rsidR="00F44750" w:rsidRPr="004F3010" w:rsidRDefault="00F44750" w:rsidP="00F44750">
                <w:pPr>
                  <w:rPr>
                    <w:rFonts w:ascii="Arial" w:hAnsi="Arial" w:cs="Arial"/>
                    <w:b/>
                    <w:color w:val="000000" w:themeColor="text1"/>
                  </w:rPr>
                </w:pPr>
              </w:p>
            </w:tc>
          </w:tr>
          <w:tr w:rsidR="00B91A11" w:rsidRPr="004F3010" w14:paraId="3C1B81BA" w14:textId="77777777" w:rsidTr="00016B57">
            <w:trPr>
              <w:trHeight w:val="510"/>
            </w:trPr>
            <w:tc>
              <w:tcPr>
                <w:tcW w:w="2517" w:type="dxa"/>
                <w:tcBorders>
                  <w:left w:val="single" w:sz="4" w:space="0" w:color="auto"/>
                  <w:right w:val="single" w:sz="8" w:space="0" w:color="404040" w:themeColor="text1" w:themeTint="BF"/>
                </w:tcBorders>
                <w:vAlign w:val="center"/>
              </w:tcPr>
              <w:p w14:paraId="5758E3D7" w14:textId="77F607B2" w:rsidR="00F44750" w:rsidRPr="004F3010" w:rsidRDefault="00F44750" w:rsidP="00F44750">
                <w:pPr>
                  <w:rPr>
                    <w:rFonts w:ascii="Arial" w:hAnsi="Arial" w:cs="Arial"/>
                    <w:color w:val="000000" w:themeColor="text1"/>
                  </w:rPr>
                </w:pPr>
              </w:p>
            </w:tc>
            <w:tc>
              <w:tcPr>
                <w:tcW w:w="7553" w:type="dxa"/>
                <w:gridSpan w:val="3"/>
                <w:tcBorders>
                  <w:left w:val="single" w:sz="8" w:space="0" w:color="404040" w:themeColor="text1" w:themeTint="BF"/>
                  <w:right w:val="single" w:sz="4" w:space="0" w:color="auto"/>
                </w:tcBorders>
                <w:vAlign w:val="center"/>
              </w:tcPr>
              <w:p w14:paraId="0829868D" w14:textId="21E20C13" w:rsidR="00F44750" w:rsidRPr="004F3010" w:rsidRDefault="00F44750" w:rsidP="00F44750">
                <w:pPr>
                  <w:rPr>
                    <w:rFonts w:ascii="Arial" w:hAnsi="Arial" w:cs="Arial"/>
                    <w:color w:val="000000" w:themeColor="text1"/>
                  </w:rPr>
                </w:pPr>
              </w:p>
            </w:tc>
          </w:tr>
          <w:tr w:rsidR="00B91A11" w:rsidRPr="004F3010" w14:paraId="18B75184" w14:textId="77777777" w:rsidTr="00016B57">
            <w:trPr>
              <w:trHeight w:val="510"/>
            </w:trPr>
            <w:tc>
              <w:tcPr>
                <w:tcW w:w="2517" w:type="dxa"/>
                <w:tcBorders>
                  <w:left w:val="single" w:sz="4" w:space="0" w:color="auto"/>
                  <w:right w:val="single" w:sz="8" w:space="0" w:color="404040" w:themeColor="text1" w:themeTint="BF"/>
                </w:tcBorders>
                <w:vAlign w:val="center"/>
              </w:tcPr>
              <w:p w14:paraId="0974BAC4" w14:textId="66CF8454" w:rsidR="00F44750" w:rsidRPr="004F3010" w:rsidRDefault="00F44750" w:rsidP="00F44750">
                <w:pPr>
                  <w:rPr>
                    <w:rFonts w:ascii="Arial" w:hAnsi="Arial" w:cs="Arial"/>
                    <w:color w:val="000000" w:themeColor="text1"/>
                  </w:rPr>
                </w:pPr>
              </w:p>
            </w:tc>
            <w:tc>
              <w:tcPr>
                <w:tcW w:w="7553" w:type="dxa"/>
                <w:gridSpan w:val="3"/>
                <w:tcBorders>
                  <w:left w:val="single" w:sz="8" w:space="0" w:color="404040" w:themeColor="text1" w:themeTint="BF"/>
                  <w:right w:val="single" w:sz="4" w:space="0" w:color="auto"/>
                </w:tcBorders>
                <w:vAlign w:val="center"/>
              </w:tcPr>
              <w:p w14:paraId="5E2DA8F3" w14:textId="77777777" w:rsidR="00F44750" w:rsidRPr="004F3010" w:rsidRDefault="00F44750" w:rsidP="00F44750">
                <w:pPr>
                  <w:rPr>
                    <w:rFonts w:ascii="Arial" w:hAnsi="Arial" w:cs="Arial"/>
                    <w:color w:val="000000" w:themeColor="text1"/>
                  </w:rPr>
                </w:pPr>
              </w:p>
            </w:tc>
          </w:tr>
        </w:tbl>
        <w:p w14:paraId="6888A270" w14:textId="7CF761E4" w:rsidR="0033436C" w:rsidRPr="004F3010" w:rsidRDefault="0033436C" w:rsidP="00F43648">
          <w:pPr>
            <w:pStyle w:val="Heading2"/>
            <w:rPr>
              <w:rFonts w:ascii="Arial" w:hAnsi="Arial" w:cs="Arial"/>
            </w:rPr>
          </w:pPr>
          <w:bookmarkStart w:id="0" w:name="_Toc523148719"/>
          <w:r w:rsidRPr="004F3010">
            <w:rPr>
              <w:rFonts w:ascii="Arial" w:hAnsi="Arial" w:cs="Arial"/>
            </w:rPr>
            <w:lastRenderedPageBreak/>
            <w:t xml:space="preserve">Policy </w:t>
          </w:r>
          <w:r w:rsidR="003435DE" w:rsidRPr="004F3010">
            <w:rPr>
              <w:rFonts w:ascii="Arial" w:hAnsi="Arial" w:cs="Arial"/>
            </w:rPr>
            <w:t>Description</w:t>
          </w:r>
        </w:p>
        <w:p w14:paraId="28FF8A8E" w14:textId="206FD74D" w:rsidR="005D4059" w:rsidRPr="004F3010" w:rsidRDefault="007D7BA1" w:rsidP="00F43648">
          <w:pPr>
            <w:pStyle w:val="Heading2"/>
            <w:rPr>
              <w:rFonts w:ascii="Arial" w:eastAsiaTheme="minorEastAsia" w:hAnsi="Arial" w:cs="Arial"/>
              <w:b w:val="0"/>
              <w:bCs w:val="0"/>
              <w:color w:val="auto"/>
              <w:sz w:val="24"/>
              <w:szCs w:val="22"/>
            </w:rPr>
          </w:pPr>
          <w:r w:rsidRPr="004F3010">
            <w:rPr>
              <w:rFonts w:ascii="Arial" w:eastAsiaTheme="minorEastAsia" w:hAnsi="Arial" w:cs="Arial"/>
              <w:b w:val="0"/>
              <w:bCs w:val="0"/>
              <w:color w:val="auto"/>
              <w:sz w:val="24"/>
              <w:szCs w:val="22"/>
            </w:rPr>
            <w:t>The</w:t>
          </w:r>
          <w:r w:rsidR="005D4059" w:rsidRPr="004F3010">
            <w:rPr>
              <w:rFonts w:ascii="Arial" w:eastAsiaTheme="minorEastAsia" w:hAnsi="Arial" w:cs="Arial"/>
              <w:b w:val="0"/>
              <w:bCs w:val="0"/>
              <w:color w:val="auto"/>
              <w:sz w:val="24"/>
              <w:szCs w:val="22"/>
            </w:rPr>
            <w:t xml:space="preserve"> </w:t>
          </w:r>
          <w:proofErr w:type="spellStart"/>
          <w:r w:rsidR="005D4059" w:rsidRPr="004F3010">
            <w:rPr>
              <w:rFonts w:ascii="Arial" w:eastAsiaTheme="minorEastAsia" w:hAnsi="Arial" w:cs="Arial"/>
              <w:b w:val="0"/>
              <w:bCs w:val="0"/>
              <w:color w:val="auto"/>
              <w:sz w:val="24"/>
              <w:szCs w:val="22"/>
            </w:rPr>
            <w:t>Localtown</w:t>
          </w:r>
          <w:proofErr w:type="spellEnd"/>
          <w:r w:rsidR="005D4059" w:rsidRPr="004F3010">
            <w:rPr>
              <w:rFonts w:ascii="Arial" w:eastAsiaTheme="minorEastAsia" w:hAnsi="Arial" w:cs="Arial"/>
              <w:b w:val="0"/>
              <w:bCs w:val="0"/>
              <w:color w:val="auto"/>
              <w:sz w:val="24"/>
              <w:szCs w:val="22"/>
            </w:rPr>
            <w:t xml:space="preserve"> Neighbourhood House (LNH) </w:t>
          </w:r>
          <w:r w:rsidR="00946A35" w:rsidRPr="004F3010">
            <w:rPr>
              <w:rFonts w:ascii="Arial" w:eastAsiaTheme="minorEastAsia" w:hAnsi="Arial" w:cs="Arial"/>
              <w:b w:val="0"/>
              <w:bCs w:val="0"/>
              <w:color w:val="auto"/>
              <w:sz w:val="24"/>
              <w:szCs w:val="22"/>
            </w:rPr>
            <w:t>Committee</w:t>
          </w:r>
          <w:r w:rsidRPr="004F3010">
            <w:rPr>
              <w:rFonts w:ascii="Arial" w:eastAsiaTheme="minorEastAsia" w:hAnsi="Arial" w:cs="Arial"/>
              <w:b w:val="0"/>
              <w:bCs w:val="0"/>
              <w:color w:val="auto"/>
              <w:sz w:val="24"/>
              <w:szCs w:val="22"/>
            </w:rPr>
            <w:t xml:space="preserve"> is responsible for adopting and monitoring the budget of the </w:t>
          </w:r>
          <w:proofErr w:type="spellStart"/>
          <w:r w:rsidRPr="004F3010">
            <w:rPr>
              <w:rFonts w:ascii="Arial" w:eastAsiaTheme="minorEastAsia" w:hAnsi="Arial" w:cs="Arial"/>
              <w:b w:val="0"/>
              <w:bCs w:val="0"/>
              <w:color w:val="auto"/>
              <w:sz w:val="24"/>
              <w:szCs w:val="22"/>
            </w:rPr>
            <w:t>organisation</w:t>
          </w:r>
          <w:proofErr w:type="spellEnd"/>
          <w:r w:rsidRPr="004F3010">
            <w:rPr>
              <w:rFonts w:ascii="Arial" w:eastAsiaTheme="minorEastAsia" w:hAnsi="Arial" w:cs="Arial"/>
              <w:b w:val="0"/>
              <w:bCs w:val="0"/>
              <w:color w:val="auto"/>
              <w:sz w:val="24"/>
              <w:szCs w:val="22"/>
            </w:rPr>
            <w:t xml:space="preserve"> and for ensuring that the </w:t>
          </w:r>
          <w:proofErr w:type="spellStart"/>
          <w:r w:rsidRPr="004F3010">
            <w:rPr>
              <w:rFonts w:ascii="Arial" w:eastAsiaTheme="minorEastAsia" w:hAnsi="Arial" w:cs="Arial"/>
              <w:b w:val="0"/>
              <w:bCs w:val="0"/>
              <w:color w:val="auto"/>
              <w:sz w:val="24"/>
              <w:szCs w:val="22"/>
            </w:rPr>
            <w:t>organisation</w:t>
          </w:r>
          <w:proofErr w:type="spellEnd"/>
          <w:r w:rsidRPr="004F3010">
            <w:rPr>
              <w:rFonts w:ascii="Arial" w:eastAsiaTheme="minorEastAsia" w:hAnsi="Arial" w:cs="Arial"/>
              <w:b w:val="0"/>
              <w:bCs w:val="0"/>
              <w:color w:val="auto"/>
              <w:sz w:val="24"/>
              <w:szCs w:val="22"/>
            </w:rPr>
            <w:t xml:space="preserve"> operates within a responsible, sustainable financial framework. This work is done in collaboration with </w:t>
          </w:r>
          <w:r w:rsidR="005D4059" w:rsidRPr="004F3010">
            <w:rPr>
              <w:rFonts w:ascii="Arial" w:eastAsiaTheme="minorEastAsia" w:hAnsi="Arial" w:cs="Arial"/>
              <w:b w:val="0"/>
              <w:bCs w:val="0"/>
              <w:color w:val="auto"/>
              <w:sz w:val="24"/>
              <w:szCs w:val="22"/>
            </w:rPr>
            <w:t>LNH</w:t>
          </w:r>
          <w:r w:rsidRPr="004F3010">
            <w:rPr>
              <w:rFonts w:ascii="Arial" w:eastAsiaTheme="minorEastAsia" w:hAnsi="Arial" w:cs="Arial"/>
              <w:b w:val="0"/>
              <w:bCs w:val="0"/>
              <w:color w:val="auto"/>
              <w:sz w:val="24"/>
              <w:szCs w:val="22"/>
            </w:rPr>
            <w:t xml:space="preserve"> staff, in particular the </w:t>
          </w:r>
          <w:r w:rsidR="005D4059" w:rsidRPr="004F3010">
            <w:rPr>
              <w:rFonts w:ascii="Arial" w:eastAsiaTheme="minorEastAsia" w:hAnsi="Arial" w:cs="Arial"/>
              <w:b w:val="0"/>
              <w:bCs w:val="0"/>
              <w:color w:val="auto"/>
              <w:sz w:val="24"/>
              <w:szCs w:val="22"/>
            </w:rPr>
            <w:t>Man</w:t>
          </w:r>
          <w:r w:rsidR="00D84F1A" w:rsidRPr="004F3010">
            <w:rPr>
              <w:rFonts w:ascii="Arial" w:eastAsiaTheme="minorEastAsia" w:hAnsi="Arial" w:cs="Arial"/>
              <w:b w:val="0"/>
              <w:bCs w:val="0"/>
              <w:color w:val="auto"/>
              <w:sz w:val="24"/>
              <w:szCs w:val="22"/>
            </w:rPr>
            <w:t>ager</w:t>
          </w:r>
          <w:r w:rsidRPr="004F3010">
            <w:rPr>
              <w:rFonts w:ascii="Arial" w:eastAsiaTheme="minorEastAsia" w:hAnsi="Arial" w:cs="Arial"/>
              <w:b w:val="0"/>
              <w:bCs w:val="0"/>
              <w:color w:val="auto"/>
              <w:sz w:val="24"/>
              <w:szCs w:val="22"/>
            </w:rPr>
            <w:t xml:space="preserve"> and Finance Officer, and the </w:t>
          </w:r>
          <w:r w:rsidR="00D84F1A" w:rsidRPr="004F3010">
            <w:rPr>
              <w:rFonts w:ascii="Arial" w:eastAsiaTheme="minorEastAsia" w:hAnsi="Arial" w:cs="Arial"/>
              <w:b w:val="0"/>
              <w:bCs w:val="0"/>
              <w:color w:val="auto"/>
              <w:sz w:val="24"/>
              <w:szCs w:val="22"/>
            </w:rPr>
            <w:t>LNH</w:t>
          </w:r>
          <w:r w:rsidRPr="004F3010">
            <w:rPr>
              <w:rFonts w:ascii="Arial" w:eastAsiaTheme="minorEastAsia" w:hAnsi="Arial" w:cs="Arial"/>
              <w:b w:val="0"/>
              <w:bCs w:val="0"/>
              <w:color w:val="auto"/>
              <w:sz w:val="24"/>
              <w:szCs w:val="22"/>
            </w:rPr>
            <w:t xml:space="preserve"> Treasurer on behalf of the </w:t>
          </w:r>
          <w:r w:rsidR="00D84F1A" w:rsidRPr="004F3010">
            <w:rPr>
              <w:rFonts w:ascii="Arial" w:eastAsiaTheme="minorEastAsia" w:hAnsi="Arial" w:cs="Arial"/>
              <w:b w:val="0"/>
              <w:bCs w:val="0"/>
              <w:color w:val="auto"/>
              <w:sz w:val="24"/>
              <w:szCs w:val="22"/>
            </w:rPr>
            <w:t>Committee</w:t>
          </w:r>
          <w:r w:rsidRPr="004F3010">
            <w:rPr>
              <w:rFonts w:ascii="Arial" w:eastAsiaTheme="minorEastAsia" w:hAnsi="Arial" w:cs="Arial"/>
              <w:b w:val="0"/>
              <w:bCs w:val="0"/>
              <w:color w:val="auto"/>
              <w:sz w:val="24"/>
              <w:szCs w:val="22"/>
            </w:rPr>
            <w:t xml:space="preserve"> of Governance.</w:t>
          </w:r>
        </w:p>
        <w:p w14:paraId="4FEDEFD2" w14:textId="5E7E2934" w:rsidR="004214F0" w:rsidRPr="004F3010" w:rsidRDefault="004214F0" w:rsidP="00F43648">
          <w:pPr>
            <w:pStyle w:val="Heading2"/>
            <w:rPr>
              <w:rFonts w:ascii="Arial" w:hAnsi="Arial" w:cs="Arial"/>
            </w:rPr>
          </w:pPr>
          <w:r w:rsidRPr="004F3010">
            <w:rPr>
              <w:rFonts w:ascii="Arial" w:hAnsi="Arial" w:cs="Arial"/>
            </w:rPr>
            <w:t xml:space="preserve">Policy </w:t>
          </w:r>
          <w:r w:rsidR="009221FC" w:rsidRPr="004F3010">
            <w:rPr>
              <w:rFonts w:ascii="Arial" w:hAnsi="Arial" w:cs="Arial"/>
            </w:rPr>
            <w:t>Rationale</w:t>
          </w:r>
        </w:p>
        <w:p w14:paraId="5C4F25E4" w14:textId="23FF9ECC" w:rsidR="003A50D8" w:rsidRPr="004F3010" w:rsidRDefault="003C2D6B" w:rsidP="003A50D8">
          <w:pPr>
            <w:rPr>
              <w:rFonts w:ascii="Arial" w:hAnsi="Arial" w:cs="Arial"/>
            </w:rPr>
          </w:pPr>
          <w:r w:rsidRPr="004F3010">
            <w:rPr>
              <w:rFonts w:ascii="Arial" w:hAnsi="Arial" w:cs="Arial"/>
            </w:rPr>
            <w:t>In 20</w:t>
          </w:r>
          <w:r w:rsidR="00D44CF8" w:rsidRPr="004F3010">
            <w:rPr>
              <w:rFonts w:ascii="Arial" w:hAnsi="Arial" w:cs="Arial"/>
            </w:rPr>
            <w:t>XX LNH</w:t>
          </w:r>
          <w:r w:rsidRPr="004F3010">
            <w:rPr>
              <w:rFonts w:ascii="Arial" w:hAnsi="Arial" w:cs="Arial"/>
            </w:rPr>
            <w:t xml:space="preserve"> received its primary operating funds through the State Government Neighbourhood House Coordination Program as well as </w:t>
          </w:r>
          <w:proofErr w:type="spellStart"/>
          <w:r w:rsidR="005F6A40" w:rsidRPr="004F3010">
            <w:rPr>
              <w:rFonts w:ascii="Arial" w:hAnsi="Arial" w:cs="Arial"/>
            </w:rPr>
            <w:t>Localtown</w:t>
          </w:r>
          <w:proofErr w:type="spellEnd"/>
          <w:r w:rsidR="005F6A40" w:rsidRPr="004F3010">
            <w:rPr>
              <w:rFonts w:ascii="Arial" w:hAnsi="Arial" w:cs="Arial"/>
            </w:rPr>
            <w:t xml:space="preserve"> Council grants</w:t>
          </w:r>
          <w:r w:rsidRPr="004F3010">
            <w:rPr>
              <w:rFonts w:ascii="Arial" w:hAnsi="Arial" w:cs="Arial"/>
            </w:rPr>
            <w:t xml:space="preserve">. The </w:t>
          </w:r>
          <w:proofErr w:type="spellStart"/>
          <w:r w:rsidRPr="004F3010">
            <w:rPr>
              <w:rFonts w:ascii="Arial" w:hAnsi="Arial" w:cs="Arial"/>
            </w:rPr>
            <w:t>organisation</w:t>
          </w:r>
          <w:proofErr w:type="spellEnd"/>
          <w:r w:rsidRPr="004F3010">
            <w:rPr>
              <w:rFonts w:ascii="Arial" w:hAnsi="Arial" w:cs="Arial"/>
            </w:rPr>
            <w:t xml:space="preserve"> operates under a budget that must be flexible in responding to unforeseen events, including possible challenges in cash flow. The annual operating budget must therefore be regularly monitored and reviewed. The Budget should reflect the legal and financial requirements of funding bodies and other accounting requirements.</w:t>
          </w:r>
        </w:p>
        <w:p w14:paraId="213B8703" w14:textId="52D4AB0E" w:rsidR="004214F0" w:rsidRPr="004F3010" w:rsidRDefault="00AC4941" w:rsidP="00F43648">
          <w:pPr>
            <w:pStyle w:val="Heading2"/>
            <w:rPr>
              <w:rFonts w:ascii="Arial" w:hAnsi="Arial" w:cs="Arial"/>
            </w:rPr>
          </w:pPr>
          <w:r w:rsidRPr="004F3010">
            <w:rPr>
              <w:rFonts w:ascii="Arial" w:hAnsi="Arial" w:cs="Arial"/>
            </w:rPr>
            <w:t>Procedures</w:t>
          </w:r>
        </w:p>
        <w:p w14:paraId="5660B8DC" w14:textId="1C8DBE65" w:rsidR="005659EA" w:rsidRPr="004F3010" w:rsidRDefault="005659EA" w:rsidP="00D0306A">
          <w:pPr>
            <w:pStyle w:val="Heading2"/>
            <w:rPr>
              <w:rFonts w:ascii="Arial" w:eastAsiaTheme="minorEastAsia" w:hAnsi="Arial" w:cs="Arial"/>
              <w:b w:val="0"/>
              <w:bCs w:val="0"/>
              <w:sz w:val="24"/>
              <w:szCs w:val="22"/>
            </w:rPr>
          </w:pPr>
          <w:r w:rsidRPr="004F3010">
            <w:rPr>
              <w:rFonts w:ascii="Arial" w:eastAsiaTheme="minorEastAsia" w:hAnsi="Arial" w:cs="Arial"/>
              <w:b w:val="0"/>
              <w:bCs w:val="0"/>
              <w:sz w:val="24"/>
              <w:szCs w:val="22"/>
            </w:rPr>
            <w:t xml:space="preserve">The Treasurer, </w:t>
          </w:r>
          <w:r w:rsidR="00823FA3" w:rsidRPr="004F3010">
            <w:rPr>
              <w:rFonts w:ascii="Arial" w:eastAsiaTheme="minorEastAsia" w:hAnsi="Arial" w:cs="Arial"/>
              <w:b w:val="0"/>
              <w:bCs w:val="0"/>
              <w:sz w:val="24"/>
              <w:szCs w:val="22"/>
            </w:rPr>
            <w:t>Manager</w:t>
          </w:r>
          <w:r w:rsidRPr="004F3010">
            <w:rPr>
              <w:rFonts w:ascii="Arial" w:eastAsiaTheme="minorEastAsia" w:hAnsi="Arial" w:cs="Arial"/>
              <w:b w:val="0"/>
              <w:bCs w:val="0"/>
              <w:sz w:val="24"/>
              <w:szCs w:val="22"/>
            </w:rPr>
            <w:t xml:space="preserve"> and Finance Officer, prepare the budget estimates for the financial year. The process includes:</w:t>
          </w:r>
        </w:p>
        <w:p w14:paraId="57A0C02A" w14:textId="77777777" w:rsidR="005659EA" w:rsidRPr="004F3010" w:rsidRDefault="005659EA" w:rsidP="00EB417F">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core operational costs</w:t>
          </w:r>
        </w:p>
        <w:p w14:paraId="4CF8E8D8" w14:textId="77777777" w:rsidR="005659EA" w:rsidRPr="004F3010" w:rsidRDefault="005659EA" w:rsidP="00EB417F">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 xml:space="preserve">grant / project commitments </w:t>
          </w:r>
        </w:p>
        <w:p w14:paraId="04097B4B" w14:textId="77777777" w:rsidR="005659EA" w:rsidRPr="004F3010" w:rsidRDefault="005659EA" w:rsidP="00EB417F">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HR and setting payroll costs</w:t>
          </w:r>
        </w:p>
        <w:p w14:paraId="7ACB9108" w14:textId="77777777" w:rsidR="005659EA" w:rsidRPr="004F3010" w:rsidRDefault="005659EA" w:rsidP="00EB417F">
          <w:pPr>
            <w:pStyle w:val="ListParagraph"/>
            <w:numPr>
              <w:ilvl w:val="0"/>
              <w:numId w:val="11"/>
            </w:numPr>
            <w:spacing w:after="0"/>
            <w:rPr>
              <w:rFonts w:ascii="Arial" w:hAnsi="Arial" w:cs="Arial"/>
              <w:color w:val="000000" w:themeColor="text1"/>
            </w:rPr>
          </w:pPr>
          <w:r w:rsidRPr="004F3010">
            <w:rPr>
              <w:rFonts w:ascii="Arial" w:hAnsi="Arial" w:cs="Arial"/>
              <w:color w:val="000000" w:themeColor="text1"/>
            </w:rPr>
            <w:t>estimating income</w:t>
          </w:r>
        </w:p>
        <w:p w14:paraId="6EFB92CE" w14:textId="77777777" w:rsidR="00862C97" w:rsidRPr="004F3010" w:rsidRDefault="005659EA" w:rsidP="00823FA3">
          <w:pPr>
            <w:pStyle w:val="ListParagraph"/>
            <w:numPr>
              <w:ilvl w:val="0"/>
              <w:numId w:val="11"/>
            </w:numPr>
            <w:spacing w:before="480" w:after="240"/>
            <w:ind w:left="714" w:hanging="357"/>
            <w:rPr>
              <w:rFonts w:ascii="Arial" w:eastAsiaTheme="minorEastAsia" w:hAnsi="Arial" w:cs="Arial"/>
            </w:rPr>
          </w:pPr>
          <w:r w:rsidRPr="004F3010">
            <w:rPr>
              <w:rFonts w:ascii="Arial" w:hAnsi="Arial" w:cs="Arial"/>
              <w:color w:val="000000" w:themeColor="text1"/>
            </w:rPr>
            <w:t>consideration of the current year financial situation.</w:t>
          </w:r>
        </w:p>
        <w:p w14:paraId="1C033A4A" w14:textId="075CECFD" w:rsidR="005659EA" w:rsidRPr="004F3010" w:rsidRDefault="005659EA" w:rsidP="00862C97">
          <w:pPr>
            <w:spacing w:after="0"/>
            <w:ind w:left="360"/>
            <w:rPr>
              <w:rFonts w:ascii="Arial" w:hAnsi="Arial" w:cs="Arial"/>
            </w:rPr>
          </w:pPr>
          <w:r w:rsidRPr="004F3010">
            <w:rPr>
              <w:rFonts w:ascii="Arial" w:hAnsi="Arial" w:cs="Arial"/>
            </w:rPr>
            <w:t xml:space="preserve">The draft budget estimates are based on the current expenditure projections to end of year plus </w:t>
          </w:r>
          <w:r w:rsidR="00FB4254" w:rsidRPr="004F3010">
            <w:rPr>
              <w:rFonts w:ascii="Arial" w:hAnsi="Arial" w:cs="Arial"/>
            </w:rPr>
            <w:t>National Wage Review</w:t>
          </w:r>
          <w:r w:rsidRPr="004F3010">
            <w:rPr>
              <w:rFonts w:ascii="Arial" w:hAnsi="Arial" w:cs="Arial"/>
            </w:rPr>
            <w:t xml:space="preserve"> increments for salaries or relevant wage increases, revisions to </w:t>
          </w:r>
          <w:r w:rsidR="00E37C51" w:rsidRPr="004F3010">
            <w:rPr>
              <w:rFonts w:ascii="Arial" w:hAnsi="Arial" w:cs="Arial"/>
            </w:rPr>
            <w:t>the Agreement</w:t>
          </w:r>
          <w:r w:rsidR="003B2609" w:rsidRPr="004F3010">
            <w:rPr>
              <w:rFonts w:ascii="Arial" w:hAnsi="Arial" w:cs="Arial"/>
            </w:rPr>
            <w:t xml:space="preserve">, </w:t>
          </w:r>
          <w:r w:rsidRPr="004F3010">
            <w:rPr>
              <w:rFonts w:ascii="Arial" w:hAnsi="Arial" w:cs="Arial"/>
            </w:rPr>
            <w:t>awards</w:t>
          </w:r>
          <w:r w:rsidR="003B2609" w:rsidRPr="004F3010">
            <w:rPr>
              <w:rFonts w:ascii="Arial" w:hAnsi="Arial" w:cs="Arial"/>
            </w:rPr>
            <w:t xml:space="preserve">, </w:t>
          </w:r>
          <w:r w:rsidRPr="004F3010">
            <w:rPr>
              <w:rFonts w:ascii="Arial" w:hAnsi="Arial" w:cs="Arial"/>
            </w:rPr>
            <w:t xml:space="preserve">contracts, etc. Details of how cost increases will be absorbed or required increases in service charges (e.g. </w:t>
          </w:r>
          <w:r w:rsidR="003B2609" w:rsidRPr="004F3010">
            <w:rPr>
              <w:rFonts w:ascii="Arial" w:hAnsi="Arial" w:cs="Arial"/>
            </w:rPr>
            <w:t>course</w:t>
          </w:r>
          <w:r w:rsidR="00121137" w:rsidRPr="004F3010">
            <w:rPr>
              <w:rFonts w:ascii="Arial" w:hAnsi="Arial" w:cs="Arial"/>
            </w:rPr>
            <w:t xml:space="preserve"> or room hire</w:t>
          </w:r>
          <w:r w:rsidRPr="004F3010">
            <w:rPr>
              <w:rFonts w:ascii="Arial" w:hAnsi="Arial" w:cs="Arial"/>
            </w:rPr>
            <w:t xml:space="preserve"> fees) will be provided. The draft budget will be presented to the </w:t>
          </w:r>
          <w:r w:rsidR="00CC140A" w:rsidRPr="004F3010">
            <w:rPr>
              <w:rFonts w:ascii="Arial" w:hAnsi="Arial" w:cs="Arial"/>
            </w:rPr>
            <w:t>LNH</w:t>
          </w:r>
          <w:r w:rsidRPr="004F3010">
            <w:rPr>
              <w:rFonts w:ascii="Arial" w:hAnsi="Arial" w:cs="Arial"/>
            </w:rPr>
            <w:t xml:space="preserve"> </w:t>
          </w:r>
          <w:r w:rsidR="00664B15" w:rsidRPr="004F3010">
            <w:rPr>
              <w:rFonts w:ascii="Arial" w:hAnsi="Arial" w:cs="Arial"/>
            </w:rPr>
            <w:t>Committee</w:t>
          </w:r>
          <w:r w:rsidRPr="004F3010">
            <w:rPr>
              <w:rFonts w:ascii="Arial" w:hAnsi="Arial" w:cs="Arial"/>
            </w:rPr>
            <w:t xml:space="preserve"> no later than May of the preceding financial year unless otherwise agreed by the </w:t>
          </w:r>
          <w:r w:rsidR="008315DC" w:rsidRPr="004F3010">
            <w:rPr>
              <w:rFonts w:ascii="Arial" w:hAnsi="Arial" w:cs="Arial"/>
            </w:rPr>
            <w:t>Committee</w:t>
          </w:r>
          <w:r w:rsidRPr="004F3010">
            <w:rPr>
              <w:rFonts w:ascii="Arial" w:hAnsi="Arial" w:cs="Arial"/>
            </w:rPr>
            <w:t xml:space="preserve"> or its representatives. Once adopted by the </w:t>
          </w:r>
          <w:r w:rsidR="008315DC" w:rsidRPr="004F3010">
            <w:rPr>
              <w:rFonts w:ascii="Arial" w:hAnsi="Arial" w:cs="Arial"/>
            </w:rPr>
            <w:t>Committee</w:t>
          </w:r>
          <w:r w:rsidRPr="004F3010">
            <w:rPr>
              <w:rFonts w:ascii="Arial" w:hAnsi="Arial" w:cs="Arial"/>
            </w:rPr>
            <w:t xml:space="preserve">, this becomes the official operating budget for </w:t>
          </w:r>
          <w:r w:rsidR="00000B52" w:rsidRPr="004F3010">
            <w:rPr>
              <w:rFonts w:ascii="Arial" w:hAnsi="Arial" w:cs="Arial"/>
            </w:rPr>
            <w:t>LNH</w:t>
          </w:r>
          <w:r w:rsidRPr="004F3010">
            <w:rPr>
              <w:rFonts w:ascii="Arial" w:hAnsi="Arial" w:cs="Arial"/>
            </w:rPr>
            <w:t xml:space="preserve"> for the stated financial year, and all </w:t>
          </w:r>
          <w:r w:rsidR="00F658E2" w:rsidRPr="004F3010">
            <w:rPr>
              <w:rFonts w:ascii="Arial" w:hAnsi="Arial" w:cs="Arial"/>
            </w:rPr>
            <w:t>Committee</w:t>
          </w:r>
          <w:r w:rsidRPr="004F3010">
            <w:rPr>
              <w:rFonts w:ascii="Arial" w:hAnsi="Arial" w:cs="Arial"/>
            </w:rPr>
            <w:t xml:space="preserve"> members and employees must endeavor to work within the financial limits stated or implied by this document.</w:t>
          </w:r>
        </w:p>
        <w:p w14:paraId="7465F14E" w14:textId="79286147" w:rsidR="00F44750" w:rsidRPr="004F3010" w:rsidRDefault="00F44750" w:rsidP="00F43648">
          <w:pPr>
            <w:pStyle w:val="Heading2"/>
            <w:rPr>
              <w:rFonts w:ascii="Arial" w:hAnsi="Arial" w:cs="Arial"/>
            </w:rPr>
          </w:pPr>
          <w:r w:rsidRPr="004F3010">
            <w:rPr>
              <w:rFonts w:ascii="Arial" w:hAnsi="Arial" w:cs="Arial"/>
            </w:rPr>
            <w:lastRenderedPageBreak/>
            <w:t xml:space="preserve">Related </w:t>
          </w:r>
          <w:r w:rsidR="005F4086" w:rsidRPr="004F3010">
            <w:rPr>
              <w:rFonts w:ascii="Arial" w:hAnsi="Arial" w:cs="Arial"/>
            </w:rPr>
            <w:t>Organisational</w:t>
          </w:r>
          <w:r w:rsidR="007D2603" w:rsidRPr="004F3010">
            <w:rPr>
              <w:rFonts w:ascii="Arial" w:hAnsi="Arial" w:cs="Arial"/>
            </w:rPr>
            <w:t xml:space="preserve"> </w:t>
          </w:r>
          <w:r w:rsidRPr="004F3010">
            <w:rPr>
              <w:rFonts w:ascii="Arial" w:hAnsi="Arial" w:cs="Arial"/>
            </w:rPr>
            <w:t>Policies and Procedures:</w:t>
          </w:r>
        </w:p>
        <w:p w14:paraId="0D5AF39E" w14:textId="77777777" w:rsidR="001C4C01" w:rsidRPr="004F3010" w:rsidRDefault="001C4C01" w:rsidP="001C4C01">
          <w:pPr>
            <w:pStyle w:val="ListParagraph"/>
            <w:numPr>
              <w:ilvl w:val="0"/>
              <w:numId w:val="12"/>
            </w:numPr>
            <w:spacing w:after="0"/>
            <w:rPr>
              <w:rFonts w:ascii="Arial" w:hAnsi="Arial" w:cs="Arial"/>
              <w:color w:val="000000" w:themeColor="text1"/>
            </w:rPr>
          </w:pPr>
          <w:r w:rsidRPr="004F3010">
            <w:rPr>
              <w:rFonts w:ascii="Arial" w:hAnsi="Arial" w:cs="Arial"/>
              <w:color w:val="000000" w:themeColor="text1"/>
            </w:rPr>
            <w:t>Staff Salary Increment</w:t>
          </w:r>
        </w:p>
        <w:p w14:paraId="4E57F852" w14:textId="77777777" w:rsidR="001C4C01" w:rsidRPr="004F3010" w:rsidRDefault="001C4C01" w:rsidP="001C4C01">
          <w:pPr>
            <w:pStyle w:val="ListParagraph"/>
            <w:numPr>
              <w:ilvl w:val="0"/>
              <w:numId w:val="12"/>
            </w:numPr>
            <w:spacing w:after="0"/>
            <w:rPr>
              <w:rFonts w:ascii="Arial" w:hAnsi="Arial" w:cs="Arial"/>
              <w:color w:val="000000" w:themeColor="text1"/>
            </w:rPr>
          </w:pPr>
          <w:r w:rsidRPr="004F3010">
            <w:rPr>
              <w:rFonts w:ascii="Arial" w:hAnsi="Arial" w:cs="Arial"/>
              <w:color w:val="000000" w:themeColor="text1"/>
            </w:rPr>
            <w:t>The most recent approved budget is saved here: [insert path and filename]</w:t>
          </w:r>
        </w:p>
        <w:p w14:paraId="7F414107" w14:textId="1FDE3988" w:rsidR="00B40D9B" w:rsidRPr="004F3010" w:rsidRDefault="001C4C01" w:rsidP="001C4C01">
          <w:pPr>
            <w:pStyle w:val="ListParagraph"/>
            <w:numPr>
              <w:ilvl w:val="0"/>
              <w:numId w:val="12"/>
            </w:numPr>
            <w:spacing w:after="0"/>
            <w:rPr>
              <w:rFonts w:ascii="Arial" w:hAnsi="Arial" w:cs="Arial"/>
              <w:color w:val="000000" w:themeColor="text1"/>
            </w:rPr>
          </w:pPr>
          <w:r w:rsidRPr="004F3010">
            <w:rPr>
              <w:rFonts w:ascii="Arial" w:hAnsi="Arial" w:cs="Arial"/>
              <w:color w:val="000000" w:themeColor="text1"/>
            </w:rPr>
            <w:t>An example monthly finance report is saved here: [insert path and filename]</w:t>
          </w:r>
        </w:p>
        <w:p w14:paraId="373410B4" w14:textId="77777777" w:rsidR="004214F0" w:rsidRPr="004F3010" w:rsidRDefault="004214F0" w:rsidP="00B36ED9">
          <w:pPr>
            <w:pStyle w:val="Heading2"/>
            <w:rPr>
              <w:rFonts w:ascii="Arial" w:hAnsi="Arial" w:cs="Arial"/>
            </w:rPr>
          </w:pPr>
          <w:r w:rsidRPr="004F3010">
            <w:rPr>
              <w:rFonts w:ascii="Arial" w:hAnsi="Arial" w:cs="Arial"/>
            </w:rPr>
            <w:t>Responsibilities</w:t>
          </w:r>
        </w:p>
        <w:bookmarkEnd w:id="0"/>
        <w:p w14:paraId="08938A51" w14:textId="77777777" w:rsidR="007B1223" w:rsidRPr="004F3010" w:rsidRDefault="007B1223" w:rsidP="007B1223">
          <w:pPr>
            <w:pStyle w:val="Heading3"/>
            <w:rPr>
              <w:rFonts w:ascii="Arial" w:hAnsi="Arial" w:cs="Arial"/>
            </w:rPr>
          </w:pPr>
          <w:r w:rsidRPr="004F3010">
            <w:rPr>
              <w:rFonts w:ascii="Arial" w:hAnsi="Arial" w:cs="Arial"/>
            </w:rPr>
            <w:t>Committee of Governance:</w:t>
          </w:r>
        </w:p>
        <w:p w14:paraId="1F2DFC20" w14:textId="7071EDD3" w:rsidR="007B1223" w:rsidRPr="004F3010" w:rsidRDefault="008C4699" w:rsidP="00014240">
          <w:pPr>
            <w:pStyle w:val="ListParagraph"/>
            <w:numPr>
              <w:ilvl w:val="0"/>
              <w:numId w:val="14"/>
            </w:numPr>
            <w:rPr>
              <w:rFonts w:ascii="Arial" w:hAnsi="Arial" w:cs="Arial"/>
              <w:color w:val="000000" w:themeColor="text1"/>
            </w:rPr>
          </w:pPr>
          <w:r w:rsidRPr="004F3010">
            <w:rPr>
              <w:rFonts w:ascii="Arial" w:hAnsi="Arial" w:cs="Arial"/>
              <w:color w:val="000000" w:themeColor="text1"/>
            </w:rPr>
            <w:t xml:space="preserve">The Treasurer is responsible for monitoring the </w:t>
          </w:r>
          <w:proofErr w:type="spellStart"/>
          <w:r w:rsidRPr="004F3010">
            <w:rPr>
              <w:rFonts w:ascii="Arial" w:hAnsi="Arial" w:cs="Arial"/>
              <w:color w:val="000000" w:themeColor="text1"/>
            </w:rPr>
            <w:t>organi</w:t>
          </w:r>
          <w:r w:rsidR="00885CC5" w:rsidRPr="004F3010">
            <w:rPr>
              <w:rFonts w:ascii="Arial" w:hAnsi="Arial" w:cs="Arial"/>
              <w:color w:val="000000" w:themeColor="text1"/>
            </w:rPr>
            <w:t>s</w:t>
          </w:r>
          <w:r w:rsidRPr="004F3010">
            <w:rPr>
              <w:rFonts w:ascii="Arial" w:hAnsi="Arial" w:cs="Arial"/>
              <w:color w:val="000000" w:themeColor="text1"/>
            </w:rPr>
            <w:t>ation’s</w:t>
          </w:r>
          <w:proofErr w:type="spellEnd"/>
          <w:r w:rsidRPr="004F3010">
            <w:rPr>
              <w:rFonts w:ascii="Arial" w:hAnsi="Arial" w:cs="Arial"/>
              <w:color w:val="000000" w:themeColor="text1"/>
            </w:rPr>
            <w:t xml:space="preserve"> income and expenditure, reviewing the actual and budgeted income and expenditures, and reporting on the progress of such expenditure.</w:t>
          </w:r>
        </w:p>
        <w:p w14:paraId="2147973F" w14:textId="22C47F59" w:rsidR="00D01B14" w:rsidRPr="004F3010" w:rsidRDefault="00D01B14" w:rsidP="00885CC5">
          <w:pPr>
            <w:pStyle w:val="ListParagraph"/>
            <w:numPr>
              <w:ilvl w:val="0"/>
              <w:numId w:val="14"/>
            </w:numPr>
            <w:rPr>
              <w:rFonts w:ascii="Arial" w:hAnsi="Arial" w:cs="Arial"/>
              <w:color w:val="000000" w:themeColor="text1"/>
            </w:rPr>
          </w:pPr>
          <w:r w:rsidRPr="004F3010">
            <w:rPr>
              <w:rFonts w:ascii="Arial" w:hAnsi="Arial" w:cs="Arial"/>
              <w:color w:val="000000" w:themeColor="text1"/>
            </w:rPr>
            <w:t xml:space="preserve">The Finance subcommittee of the </w:t>
          </w:r>
          <w:r w:rsidR="00885CC5" w:rsidRPr="004F3010">
            <w:rPr>
              <w:rFonts w:ascii="Arial" w:hAnsi="Arial" w:cs="Arial"/>
              <w:color w:val="000000" w:themeColor="text1"/>
            </w:rPr>
            <w:t>Committee</w:t>
          </w:r>
          <w:r w:rsidRPr="004F3010">
            <w:rPr>
              <w:rFonts w:ascii="Arial" w:hAnsi="Arial" w:cs="Arial"/>
              <w:color w:val="000000" w:themeColor="text1"/>
            </w:rPr>
            <w:t xml:space="preserve"> comprising the Treasurer, </w:t>
          </w:r>
          <w:r w:rsidR="00885CC5" w:rsidRPr="004F3010">
            <w:rPr>
              <w:rFonts w:ascii="Arial" w:hAnsi="Arial" w:cs="Arial"/>
              <w:color w:val="000000" w:themeColor="text1"/>
            </w:rPr>
            <w:t>Manager</w:t>
          </w:r>
          <w:r w:rsidRPr="004F3010">
            <w:rPr>
              <w:rFonts w:ascii="Arial" w:hAnsi="Arial" w:cs="Arial"/>
              <w:color w:val="000000" w:themeColor="text1"/>
            </w:rPr>
            <w:t xml:space="preserve"> and Finance Officer and any other representatives deemed appropriate by the </w:t>
          </w:r>
          <w:r w:rsidR="00885CC5" w:rsidRPr="004F3010">
            <w:rPr>
              <w:rFonts w:ascii="Arial" w:hAnsi="Arial" w:cs="Arial"/>
              <w:color w:val="000000" w:themeColor="text1"/>
            </w:rPr>
            <w:t>Committee</w:t>
          </w:r>
          <w:r w:rsidRPr="004F3010">
            <w:rPr>
              <w:rFonts w:ascii="Arial" w:hAnsi="Arial" w:cs="Arial"/>
              <w:color w:val="000000" w:themeColor="text1"/>
            </w:rPr>
            <w:t xml:space="preserve"> will meet monthly to review the monthly finance reports. These will be presented to the next </w:t>
          </w:r>
          <w:r w:rsidR="00885CC5" w:rsidRPr="004F3010">
            <w:rPr>
              <w:rFonts w:ascii="Arial" w:hAnsi="Arial" w:cs="Arial"/>
              <w:color w:val="000000" w:themeColor="text1"/>
            </w:rPr>
            <w:t>scheduled</w:t>
          </w:r>
          <w:r w:rsidRPr="004F3010">
            <w:rPr>
              <w:rFonts w:ascii="Arial" w:hAnsi="Arial" w:cs="Arial"/>
              <w:color w:val="000000" w:themeColor="text1"/>
            </w:rPr>
            <w:t xml:space="preserve"> </w:t>
          </w:r>
          <w:r w:rsidR="00885CC5" w:rsidRPr="004F3010">
            <w:rPr>
              <w:rFonts w:ascii="Arial" w:hAnsi="Arial" w:cs="Arial"/>
              <w:color w:val="000000" w:themeColor="text1"/>
            </w:rPr>
            <w:t>Committee</w:t>
          </w:r>
          <w:r w:rsidRPr="004F3010">
            <w:rPr>
              <w:rFonts w:ascii="Arial" w:hAnsi="Arial" w:cs="Arial"/>
              <w:color w:val="000000" w:themeColor="text1"/>
            </w:rPr>
            <w:t xml:space="preserve"> meeting.</w:t>
          </w:r>
        </w:p>
        <w:p w14:paraId="6316E2F6" w14:textId="7D2D0C5B" w:rsidR="00D01B14" w:rsidRPr="004F3010" w:rsidRDefault="00D01B14" w:rsidP="001F7ACD">
          <w:pPr>
            <w:pStyle w:val="ListParagraph"/>
            <w:numPr>
              <w:ilvl w:val="0"/>
              <w:numId w:val="14"/>
            </w:numPr>
            <w:rPr>
              <w:rFonts w:ascii="Arial" w:hAnsi="Arial" w:cs="Arial"/>
              <w:color w:val="000000" w:themeColor="text1"/>
            </w:rPr>
          </w:pPr>
          <w:r w:rsidRPr="004F3010">
            <w:rPr>
              <w:rFonts w:ascii="Arial" w:hAnsi="Arial" w:cs="Arial"/>
              <w:color w:val="000000" w:themeColor="text1"/>
            </w:rPr>
            <w:t xml:space="preserve">The Treasurer will indicate the impact any variations will have on the budget projections and provide this information to the </w:t>
          </w:r>
          <w:r w:rsidR="001F7ACD" w:rsidRPr="004F3010">
            <w:rPr>
              <w:rFonts w:ascii="Arial" w:hAnsi="Arial" w:cs="Arial"/>
              <w:color w:val="000000" w:themeColor="text1"/>
            </w:rPr>
            <w:t>Committee</w:t>
          </w:r>
          <w:r w:rsidRPr="004F3010">
            <w:rPr>
              <w:rFonts w:ascii="Arial" w:hAnsi="Arial" w:cs="Arial"/>
              <w:color w:val="000000" w:themeColor="text1"/>
            </w:rPr>
            <w:t xml:space="preserve">. The Treasurer will also report to the </w:t>
          </w:r>
          <w:r w:rsidR="001F7ACD" w:rsidRPr="004F3010">
            <w:rPr>
              <w:rFonts w:ascii="Arial" w:hAnsi="Arial" w:cs="Arial"/>
              <w:color w:val="000000" w:themeColor="text1"/>
            </w:rPr>
            <w:t>Committee</w:t>
          </w:r>
          <w:r w:rsidRPr="004F3010">
            <w:rPr>
              <w:rFonts w:ascii="Arial" w:hAnsi="Arial" w:cs="Arial"/>
              <w:color w:val="000000" w:themeColor="text1"/>
            </w:rPr>
            <w:t xml:space="preserve"> on any other significant financial matters.</w:t>
          </w:r>
        </w:p>
        <w:p w14:paraId="16B9B320" w14:textId="42ED6529" w:rsidR="00D01B14" w:rsidRPr="004F3010" w:rsidRDefault="00D01B14" w:rsidP="00D01B14">
          <w:pPr>
            <w:pStyle w:val="ListParagraph"/>
            <w:numPr>
              <w:ilvl w:val="0"/>
              <w:numId w:val="14"/>
            </w:numPr>
            <w:rPr>
              <w:rFonts w:ascii="Arial" w:hAnsi="Arial" w:cs="Arial"/>
              <w:color w:val="000000" w:themeColor="text1"/>
            </w:rPr>
          </w:pPr>
          <w:r w:rsidRPr="004F3010">
            <w:rPr>
              <w:rFonts w:ascii="Arial" w:hAnsi="Arial" w:cs="Arial"/>
              <w:color w:val="000000" w:themeColor="text1"/>
            </w:rPr>
            <w:t xml:space="preserve">If a major change occurs to funding, expenditure or any material assumption underlying the budget, the Finance subcommittee may determine that a revised budget is necessary for the remainder of the financial year. If so, they will prepare a revised budget and refer it to the </w:t>
          </w:r>
          <w:r w:rsidR="00A82A64" w:rsidRPr="004F3010">
            <w:rPr>
              <w:rFonts w:ascii="Arial" w:hAnsi="Arial" w:cs="Arial"/>
              <w:color w:val="000000" w:themeColor="text1"/>
            </w:rPr>
            <w:t>Committee</w:t>
          </w:r>
          <w:r w:rsidRPr="004F3010">
            <w:rPr>
              <w:rFonts w:ascii="Arial" w:hAnsi="Arial" w:cs="Arial"/>
              <w:color w:val="000000" w:themeColor="text1"/>
            </w:rPr>
            <w:t xml:space="preserve"> for consideration and adoption</w:t>
          </w:r>
        </w:p>
        <w:p w14:paraId="7EDC4E8A" w14:textId="77777777" w:rsidR="007B1223" w:rsidRPr="004F3010" w:rsidRDefault="007B1223" w:rsidP="007B1223">
          <w:pPr>
            <w:rPr>
              <w:rFonts w:ascii="Arial" w:hAnsi="Arial" w:cs="Arial"/>
              <w:b/>
              <w:bCs/>
              <w:color w:val="000000" w:themeColor="text1"/>
            </w:rPr>
          </w:pPr>
          <w:r w:rsidRPr="004F3010">
            <w:rPr>
              <w:rFonts w:ascii="Arial" w:hAnsi="Arial" w:cs="Arial"/>
              <w:b/>
              <w:bCs/>
              <w:color w:val="000000" w:themeColor="text1"/>
            </w:rPr>
            <w:t>Manager:</w:t>
          </w:r>
        </w:p>
        <w:p w14:paraId="530EF7C3" w14:textId="42A232FE" w:rsidR="00F61A6B" w:rsidRPr="004F3010" w:rsidRDefault="007C50AC" w:rsidP="00014240">
          <w:pPr>
            <w:pStyle w:val="ListParagraph"/>
            <w:numPr>
              <w:ilvl w:val="0"/>
              <w:numId w:val="14"/>
            </w:numPr>
            <w:rPr>
              <w:rFonts w:ascii="Arial" w:hAnsi="Arial" w:cs="Arial"/>
              <w:bCs/>
              <w:color w:val="000000" w:themeColor="text1"/>
            </w:rPr>
          </w:pPr>
          <w:r w:rsidRPr="004F3010">
            <w:rPr>
              <w:rFonts w:ascii="Arial" w:hAnsi="Arial" w:cs="Arial"/>
              <w:bCs/>
              <w:color w:val="000000" w:themeColor="text1"/>
            </w:rPr>
            <w:t xml:space="preserve">The </w:t>
          </w:r>
          <w:r w:rsidR="00A82A64" w:rsidRPr="004F3010">
            <w:rPr>
              <w:rFonts w:ascii="Arial" w:hAnsi="Arial" w:cs="Arial"/>
              <w:bCs/>
              <w:color w:val="000000" w:themeColor="text1"/>
            </w:rPr>
            <w:t>Manager</w:t>
          </w:r>
          <w:r w:rsidRPr="004F3010">
            <w:rPr>
              <w:rFonts w:ascii="Arial" w:hAnsi="Arial" w:cs="Arial"/>
              <w:bCs/>
              <w:color w:val="000000" w:themeColor="text1"/>
            </w:rPr>
            <w:t xml:space="preserve"> is responsible for managing the annual budget once it is approved by the </w:t>
          </w:r>
          <w:r w:rsidR="00F61A6B" w:rsidRPr="004F3010">
            <w:rPr>
              <w:rFonts w:ascii="Arial" w:hAnsi="Arial" w:cs="Arial"/>
              <w:bCs/>
              <w:color w:val="000000" w:themeColor="text1"/>
            </w:rPr>
            <w:t>LNH</w:t>
          </w:r>
          <w:r w:rsidRPr="004F3010">
            <w:rPr>
              <w:rFonts w:ascii="Arial" w:hAnsi="Arial" w:cs="Arial"/>
              <w:bCs/>
              <w:color w:val="000000" w:themeColor="text1"/>
            </w:rPr>
            <w:t xml:space="preserve"> </w:t>
          </w:r>
          <w:r w:rsidR="007758F7" w:rsidRPr="004F3010">
            <w:rPr>
              <w:rFonts w:ascii="Arial" w:hAnsi="Arial" w:cs="Arial"/>
              <w:bCs/>
              <w:color w:val="000000" w:themeColor="text1"/>
            </w:rPr>
            <w:t>Committee</w:t>
          </w:r>
          <w:r w:rsidRPr="004F3010">
            <w:rPr>
              <w:rFonts w:ascii="Arial" w:hAnsi="Arial" w:cs="Arial"/>
              <w:bCs/>
              <w:color w:val="000000" w:themeColor="text1"/>
            </w:rPr>
            <w:t>.</w:t>
          </w:r>
        </w:p>
        <w:p w14:paraId="1051B757" w14:textId="77777777" w:rsidR="007B1223" w:rsidRPr="004F3010" w:rsidRDefault="007B1223" w:rsidP="007B1223">
          <w:pPr>
            <w:rPr>
              <w:rFonts w:ascii="Arial" w:hAnsi="Arial" w:cs="Arial"/>
              <w:b/>
              <w:color w:val="000000" w:themeColor="text1"/>
            </w:rPr>
          </w:pPr>
          <w:r w:rsidRPr="004F3010">
            <w:rPr>
              <w:rFonts w:ascii="Arial" w:hAnsi="Arial" w:cs="Arial"/>
              <w:b/>
              <w:color w:val="000000" w:themeColor="text1"/>
            </w:rPr>
            <w:t>All Staff and Volunteers:</w:t>
          </w:r>
        </w:p>
        <w:p w14:paraId="51D4F005" w14:textId="480F3375" w:rsidR="00C77F04" w:rsidRPr="004F3010" w:rsidRDefault="00FF3472" w:rsidP="00D475CC">
          <w:pPr>
            <w:pStyle w:val="ListParagraph"/>
            <w:numPr>
              <w:ilvl w:val="0"/>
              <w:numId w:val="15"/>
            </w:numPr>
            <w:rPr>
              <w:rFonts w:ascii="Arial" w:hAnsi="Arial" w:cs="Arial"/>
              <w:color w:val="000000" w:themeColor="text1"/>
            </w:rPr>
          </w:pPr>
          <w:r w:rsidRPr="004F3010">
            <w:rPr>
              <w:rFonts w:ascii="Arial" w:hAnsi="Arial" w:cs="Arial"/>
              <w:color w:val="000000" w:themeColor="text1"/>
            </w:rPr>
            <w:t xml:space="preserve">The Finance Officer is responsible for preparing monthly finance reports for the finance subcommittee showing the year-to-date income and expenditure and its variation from the budget estimates, indicating any increases or decreases in funding. A commentary should be attached to </w:t>
          </w:r>
          <w:r w:rsidR="004520A9" w:rsidRPr="004F3010">
            <w:rPr>
              <w:rFonts w:ascii="Arial" w:hAnsi="Arial" w:cs="Arial"/>
              <w:color w:val="000000" w:themeColor="text1"/>
            </w:rPr>
            <w:t>Committee</w:t>
          </w:r>
          <w:r w:rsidRPr="004F3010">
            <w:rPr>
              <w:rFonts w:ascii="Arial" w:hAnsi="Arial" w:cs="Arial"/>
              <w:color w:val="000000" w:themeColor="text1"/>
            </w:rPr>
            <w:t xml:space="preserve"> reports detailing reasons for variations and recommendations for corrective action if required.</w:t>
          </w:r>
          <w:r w:rsidR="00D475CC" w:rsidRPr="004F3010">
            <w:rPr>
              <w:rFonts w:ascii="Arial" w:hAnsi="Arial" w:cs="Arial"/>
              <w:color w:val="000000" w:themeColor="text1"/>
            </w:rPr>
            <w:t xml:space="preserve"> </w:t>
          </w:r>
        </w:p>
      </w:sdtContent>
    </w:sdt>
    <w:sectPr w:rsidR="00C77F04" w:rsidRPr="004F3010" w:rsidSect="00F27797">
      <w:headerReference w:type="default" r:id="rId13"/>
      <w:footerReference w:type="even" r:id="rId14"/>
      <w:footerReference w:type="default" r:id="rId15"/>
      <w:footerReference w:type="first" r:id="rId16"/>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CFA0" w14:textId="77777777" w:rsidR="00D9317F" w:rsidRDefault="00D9317F">
      <w:pPr>
        <w:spacing w:after="0" w:line="240" w:lineRule="auto"/>
      </w:pPr>
      <w:r>
        <w:separator/>
      </w:r>
    </w:p>
  </w:endnote>
  <w:endnote w:type="continuationSeparator" w:id="0">
    <w:p w14:paraId="67C0AF6D" w14:textId="77777777" w:rsidR="00D9317F" w:rsidRDefault="00D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48441"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1C0" w14:textId="77777777" w:rsidR="000624B8" w:rsidRDefault="000624B8" w:rsidP="00A54C50">
    <w:pPr>
      <w:spacing w:after="0" w:line="240" w:lineRule="auto"/>
      <w:rPr>
        <w:color w:val="404040" w:themeColor="text1" w:themeTint="BF"/>
      </w:rPr>
    </w:pPr>
  </w:p>
  <w:p w14:paraId="0F5CE395" w14:textId="77777777" w:rsidR="000624B8" w:rsidRDefault="000624B8" w:rsidP="00A54C50">
    <w:pPr>
      <w:spacing w:after="0" w:line="240" w:lineRule="auto"/>
      <w:rPr>
        <w:color w:val="404040" w:themeColor="text1" w:themeTint="BF"/>
      </w:rPr>
    </w:pPr>
  </w:p>
  <w:p w14:paraId="432BD17B" w14:textId="622AD1A5" w:rsidR="00A54C50" w:rsidRPr="004F3010" w:rsidRDefault="00A54C50" w:rsidP="00A54C50">
    <w:pPr>
      <w:spacing w:after="0" w:line="240" w:lineRule="auto"/>
      <w:rPr>
        <w:rFonts w:ascii="Arial" w:hAnsi="Arial" w:cs="Arial"/>
        <w:color w:val="404040" w:themeColor="text1" w:themeTint="BF"/>
      </w:rPr>
    </w:pPr>
    <w:r w:rsidRPr="004F3010">
      <w:rPr>
        <w:rFonts w:ascii="Arial" w:hAnsi="Arial" w:cs="Arial"/>
        <w:color w:val="404040" w:themeColor="text1" w:themeTint="BF"/>
      </w:rPr>
      <w:t xml:space="preserve">Sample </w:t>
    </w:r>
    <w:r w:rsidR="00D475CC" w:rsidRPr="004F3010">
      <w:rPr>
        <w:rFonts w:ascii="Arial" w:hAnsi="Arial" w:cs="Arial"/>
        <w:color w:val="404040" w:themeColor="text1" w:themeTint="BF"/>
      </w:rPr>
      <w:t>Budget</w:t>
    </w:r>
    <w:r w:rsidR="008E559D" w:rsidRPr="004F3010">
      <w:rPr>
        <w:rFonts w:ascii="Arial" w:hAnsi="Arial" w:cs="Arial"/>
        <w:color w:val="404040" w:themeColor="text1" w:themeTint="BF"/>
      </w:rPr>
      <w:t xml:space="preserve"> Development &amp; Monitoring</w:t>
    </w:r>
    <w:r w:rsidRPr="004F3010">
      <w:rPr>
        <w:rFonts w:ascii="Arial" w:hAnsi="Arial" w:cs="Arial"/>
        <w:color w:val="404040" w:themeColor="text1" w:themeTint="BF"/>
      </w:rPr>
      <w:t xml:space="preserve"> Policy</w:t>
    </w:r>
  </w:p>
  <w:p w14:paraId="0310256B" w14:textId="7894016D" w:rsidR="00A54C50" w:rsidRPr="004F3010" w:rsidRDefault="00A54C50" w:rsidP="00214AAE">
    <w:pPr>
      <w:tabs>
        <w:tab w:val="left" w:pos="720"/>
        <w:tab w:val="left" w:pos="1440"/>
        <w:tab w:val="left" w:pos="2160"/>
        <w:tab w:val="left" w:pos="3600"/>
      </w:tabs>
      <w:spacing w:after="0" w:line="240" w:lineRule="auto"/>
      <w:rPr>
        <w:rFonts w:ascii="Arial" w:hAnsi="Arial" w:cs="Arial"/>
        <w:color w:val="404040" w:themeColor="text1" w:themeTint="BF"/>
      </w:rPr>
    </w:pPr>
    <w:r w:rsidRPr="004F3010">
      <w:rPr>
        <w:rFonts w:ascii="Arial" w:hAnsi="Arial" w:cs="Arial"/>
        <w:color w:val="404040" w:themeColor="text1" w:themeTint="BF"/>
      </w:rPr>
      <w:t xml:space="preserve">Version: </w:t>
    </w:r>
    <w:r w:rsidRPr="004F3010">
      <w:rPr>
        <w:rFonts w:ascii="Arial" w:hAnsi="Arial" w:cs="Arial"/>
        <w:color w:val="404040" w:themeColor="text1" w:themeTint="BF"/>
      </w:rPr>
      <w:tab/>
      <w:t>Date:</w:t>
    </w:r>
    <w:r w:rsidR="00214AAE" w:rsidRPr="004F3010">
      <w:rPr>
        <w:rFonts w:ascii="Arial" w:hAnsi="Arial" w:cs="Arial"/>
        <w:color w:val="404040" w:themeColor="text1" w:themeTint="BF"/>
      </w:rPr>
      <w:tab/>
    </w:r>
    <w:r w:rsidR="00214AAE" w:rsidRPr="004F3010">
      <w:rPr>
        <w:rFonts w:ascii="Arial" w:hAnsi="Arial" w:cs="Arial"/>
        <w:color w:val="404040" w:themeColor="text1" w:themeTint="BF"/>
      </w:rPr>
      <w:tab/>
    </w:r>
  </w:p>
  <w:p w14:paraId="744F998F" w14:textId="41F30C42" w:rsidR="0022349E" w:rsidRPr="00A54C50" w:rsidRDefault="0022349E" w:rsidP="00996447">
    <w:pPr>
      <w:jc w:val="right"/>
      <w:rPr>
        <w:b/>
      </w:rPr>
    </w:pPr>
    <w:r w:rsidRPr="00A54C50">
      <w:rPr>
        <w:b/>
      </w:rPr>
      <w:fldChar w:fldCharType="begin"/>
    </w:r>
    <w:r w:rsidRPr="00A54C50">
      <w:rPr>
        <w:b/>
      </w:rPr>
      <w:instrText xml:space="preserve"> PAGE  \* Arabic  \* MERGEFORMAT </w:instrText>
    </w:r>
    <w:r w:rsidRPr="00A54C50">
      <w:rPr>
        <w:b/>
      </w:rPr>
      <w:fldChar w:fldCharType="separate"/>
    </w:r>
    <w:r w:rsidR="008E493E">
      <w:rPr>
        <w:b/>
        <w:noProof/>
      </w:rPr>
      <w:t>2</w:t>
    </w:r>
    <w:r w:rsidRPr="00A54C50">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4F3010" w:rsidRDefault="0022349E" w:rsidP="000728AF">
    <w:pPr>
      <w:pStyle w:val="Footer"/>
      <w:spacing w:after="120"/>
      <w:jc w:val="right"/>
      <w:rPr>
        <w:rFonts w:ascii="Arial" w:hAnsi="Arial" w:cs="Arial"/>
        <w:b/>
        <w:color w:val="0070C0"/>
        <w:sz w:val="22"/>
      </w:rPr>
    </w:pPr>
    <w:r w:rsidRPr="004F3010">
      <w:rPr>
        <w:rFonts w:ascii="Arial" w:hAnsi="Arial" w:cs="Arial"/>
        <w:b/>
        <w:noProof/>
        <w:color w:val="0070C0"/>
        <w:sz w:val="22"/>
        <w:lang w:val="en-AU" w:eastAsia="en-AU"/>
      </w:rPr>
      <mc:AlternateContent>
        <mc:Choice Requires="wps">
          <w:drawing>
            <wp:anchor distT="0" distB="0" distL="114300" distR="114300" simplePos="0" relativeHeight="251638272" behindDoc="0" locked="0" layoutInCell="1" allowOverlap="1" wp14:anchorId="455090AB" wp14:editId="6D30D9D3">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28432" id="Line 13"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" strokecolor="#404040 [2429]" strokeweight=".5pt"/>
          </w:pict>
        </mc:Fallback>
      </mc:AlternateContent>
    </w:r>
    <w:r w:rsidRPr="004F3010">
      <w:rPr>
        <w:rStyle w:val="Footerboldblue"/>
        <w:rFonts w:cs="Arial"/>
        <w:color w:val="0070C0"/>
        <w:sz w:val="22"/>
      </w:rPr>
      <w:t>Neighbourhood Houses Victoria Inc</w:t>
    </w:r>
  </w:p>
  <w:p w14:paraId="79A58AC3" w14:textId="5FE22EF6" w:rsidR="0022349E" w:rsidRPr="004F3010" w:rsidRDefault="0022349E" w:rsidP="000728AF">
    <w:pPr>
      <w:pStyle w:val="Footerblue"/>
      <w:jc w:val="right"/>
      <w:rPr>
        <w:rFonts w:ascii="Arial" w:hAnsi="Arial" w:cs="Arial"/>
        <w:color w:val="0070C0"/>
        <w:sz w:val="22"/>
      </w:rPr>
    </w:pPr>
    <w:r w:rsidRPr="004F3010">
      <w:rPr>
        <w:rFonts w:ascii="Arial" w:hAnsi="Arial" w:cs="Arial"/>
        <w:color w:val="0070C0"/>
        <w:sz w:val="22"/>
      </w:rPr>
      <w:t>Shop B41, Level 4, 744 Bourke Street, Docklands VIC 3008</w:t>
    </w:r>
  </w:p>
  <w:p w14:paraId="5EC96262" w14:textId="53C1BCBB" w:rsidR="0022349E" w:rsidRPr="004F3010" w:rsidRDefault="0022349E" w:rsidP="000728AF">
    <w:pPr>
      <w:pStyle w:val="Footerblue"/>
      <w:jc w:val="right"/>
      <w:rPr>
        <w:rFonts w:ascii="Arial" w:hAnsi="Arial" w:cs="Arial"/>
        <w:color w:val="0070C0"/>
        <w:sz w:val="22"/>
      </w:rPr>
    </w:pPr>
    <w:r w:rsidRPr="004F3010">
      <w:rPr>
        <w:rFonts w:ascii="Arial" w:hAnsi="Arial" w:cs="Arial"/>
        <w:color w:val="0070C0"/>
        <w:sz w:val="22"/>
      </w:rPr>
      <w:t xml:space="preserve"> (03) 9602 1228  |  info@nhvic.org.au  |  </w:t>
    </w:r>
    <w:r w:rsidR="00117C79" w:rsidRPr="004F3010">
      <w:rPr>
        <w:rFonts w:ascii="Arial" w:hAnsi="Arial" w:cs="Arial"/>
        <w:color w:val="0070C0"/>
        <w:sz w:val="22"/>
      </w:rPr>
      <w:t>nhvic.org.au</w:t>
    </w:r>
  </w:p>
  <w:p w14:paraId="7A870D1F" w14:textId="7E84AE5D" w:rsidR="0022349E" w:rsidRPr="004F3010" w:rsidRDefault="0022349E" w:rsidP="000728AF">
    <w:pPr>
      <w:pStyle w:val="Footerblue"/>
      <w:jc w:val="right"/>
      <w:rPr>
        <w:rFonts w:ascii="Arial" w:hAnsi="Arial" w:cs="Arial"/>
        <w:color w:val="0070C0"/>
        <w:sz w:val="22"/>
      </w:rPr>
    </w:pPr>
    <w:r w:rsidRPr="004F3010">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42F5" w14:textId="77777777" w:rsidR="00D9317F" w:rsidRDefault="00D9317F">
      <w:pPr>
        <w:spacing w:after="0" w:line="240" w:lineRule="auto"/>
      </w:pPr>
      <w:r>
        <w:separator/>
      </w:r>
    </w:p>
  </w:footnote>
  <w:footnote w:type="continuationSeparator" w:id="0">
    <w:p w14:paraId="12E2CF63" w14:textId="77777777" w:rsidR="00D9317F" w:rsidRDefault="00D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5DF8FDB1" w14:textId="2BA10866" w:rsidR="0022349E" w:rsidRPr="00A54C50" w:rsidRDefault="0022349E" w:rsidP="00052134">
    <w:pPr>
      <w:spacing w:after="0" w:line="240" w:lineRule="auto"/>
      <w:jc w:val="right"/>
      <w:rPr>
        <w:color w:val="404040" w:themeColor="text1" w:themeTint="BF"/>
      </w:rPr>
    </w:pPr>
  </w:p>
  <w:p w14:paraId="3BE767CE" w14:textId="77777777" w:rsidR="0022349E" w:rsidRPr="00A54C50" w:rsidRDefault="0022349E" w:rsidP="00A27E93">
    <w:pPr>
      <w:spacing w:after="0"/>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E4F213E"/>
    <w:multiLevelType w:val="hybridMultilevel"/>
    <w:tmpl w:val="E7A08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6378617">
    <w:abstractNumId w:val="11"/>
  </w:num>
  <w:num w:numId="2" w16cid:durableId="435909009">
    <w:abstractNumId w:val="15"/>
  </w:num>
  <w:num w:numId="3" w16cid:durableId="206840634">
    <w:abstractNumId w:val="4"/>
  </w:num>
  <w:num w:numId="4" w16cid:durableId="524755579">
    <w:abstractNumId w:val="14"/>
  </w:num>
  <w:num w:numId="5" w16cid:durableId="1368332084">
    <w:abstractNumId w:val="5"/>
  </w:num>
  <w:num w:numId="6" w16cid:durableId="1281491009">
    <w:abstractNumId w:val="8"/>
  </w:num>
  <w:num w:numId="7" w16cid:durableId="104008945">
    <w:abstractNumId w:val="10"/>
  </w:num>
  <w:num w:numId="8" w16cid:durableId="420639734">
    <w:abstractNumId w:val="0"/>
  </w:num>
  <w:num w:numId="9" w16cid:durableId="343822992">
    <w:abstractNumId w:val="1"/>
  </w:num>
  <w:num w:numId="10" w16cid:durableId="619461831">
    <w:abstractNumId w:val="9"/>
  </w:num>
  <w:num w:numId="11" w16cid:durableId="854461991">
    <w:abstractNumId w:val="6"/>
  </w:num>
  <w:num w:numId="12" w16cid:durableId="451555971">
    <w:abstractNumId w:val="3"/>
  </w:num>
  <w:num w:numId="13" w16cid:durableId="2084326514">
    <w:abstractNumId w:val="13"/>
  </w:num>
  <w:num w:numId="14" w16cid:durableId="1160195355">
    <w:abstractNumId w:val="7"/>
  </w:num>
  <w:num w:numId="15" w16cid:durableId="1332756921">
    <w:abstractNumId w:val="2"/>
  </w:num>
  <w:num w:numId="16" w16cid:durableId="1635603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8"/>
    <w:rsid w:val="00000B52"/>
    <w:rsid w:val="00014240"/>
    <w:rsid w:val="000144EC"/>
    <w:rsid w:val="00016B57"/>
    <w:rsid w:val="00052134"/>
    <w:rsid w:val="000624B8"/>
    <w:rsid w:val="000728AF"/>
    <w:rsid w:val="00084E5A"/>
    <w:rsid w:val="000B5429"/>
    <w:rsid w:val="000D72AF"/>
    <w:rsid w:val="000F3C26"/>
    <w:rsid w:val="00117C79"/>
    <w:rsid w:val="00121137"/>
    <w:rsid w:val="00134685"/>
    <w:rsid w:val="0016144C"/>
    <w:rsid w:val="00162B5D"/>
    <w:rsid w:val="001805DC"/>
    <w:rsid w:val="001A57E2"/>
    <w:rsid w:val="001C34C5"/>
    <w:rsid w:val="001C4C01"/>
    <w:rsid w:val="001F3552"/>
    <w:rsid w:val="001F7ACD"/>
    <w:rsid w:val="0020386F"/>
    <w:rsid w:val="0020720E"/>
    <w:rsid w:val="00214AAE"/>
    <w:rsid w:val="0022349E"/>
    <w:rsid w:val="002242ED"/>
    <w:rsid w:val="002331A6"/>
    <w:rsid w:val="002616EE"/>
    <w:rsid w:val="002D21F9"/>
    <w:rsid w:val="002D3ECD"/>
    <w:rsid w:val="002E20A6"/>
    <w:rsid w:val="002F08B1"/>
    <w:rsid w:val="002F597E"/>
    <w:rsid w:val="0031266F"/>
    <w:rsid w:val="00331D20"/>
    <w:rsid w:val="00331F34"/>
    <w:rsid w:val="0033436C"/>
    <w:rsid w:val="00340D61"/>
    <w:rsid w:val="00342A06"/>
    <w:rsid w:val="003435DE"/>
    <w:rsid w:val="003572A6"/>
    <w:rsid w:val="003707D8"/>
    <w:rsid w:val="003764B4"/>
    <w:rsid w:val="003A50D8"/>
    <w:rsid w:val="003B2609"/>
    <w:rsid w:val="003C2D6B"/>
    <w:rsid w:val="00415A04"/>
    <w:rsid w:val="004214F0"/>
    <w:rsid w:val="00426484"/>
    <w:rsid w:val="00436DD8"/>
    <w:rsid w:val="00440EB2"/>
    <w:rsid w:val="00444A84"/>
    <w:rsid w:val="00446930"/>
    <w:rsid w:val="004520A9"/>
    <w:rsid w:val="004A613A"/>
    <w:rsid w:val="004D46D3"/>
    <w:rsid w:val="004E35D4"/>
    <w:rsid w:val="004F3010"/>
    <w:rsid w:val="0050596D"/>
    <w:rsid w:val="00506212"/>
    <w:rsid w:val="00540E71"/>
    <w:rsid w:val="005659EA"/>
    <w:rsid w:val="005755D9"/>
    <w:rsid w:val="005A073E"/>
    <w:rsid w:val="005C61D2"/>
    <w:rsid w:val="005D3A98"/>
    <w:rsid w:val="005D4059"/>
    <w:rsid w:val="005E2811"/>
    <w:rsid w:val="005E2FB9"/>
    <w:rsid w:val="005F4086"/>
    <w:rsid w:val="005F6A40"/>
    <w:rsid w:val="00604012"/>
    <w:rsid w:val="006050A9"/>
    <w:rsid w:val="00616BD9"/>
    <w:rsid w:val="00620BC3"/>
    <w:rsid w:val="00624C59"/>
    <w:rsid w:val="00634647"/>
    <w:rsid w:val="00664B15"/>
    <w:rsid w:val="006824AA"/>
    <w:rsid w:val="006A4694"/>
    <w:rsid w:val="006C1EE8"/>
    <w:rsid w:val="006C2C0F"/>
    <w:rsid w:val="006D75BA"/>
    <w:rsid w:val="006F6394"/>
    <w:rsid w:val="0070327F"/>
    <w:rsid w:val="00723FC9"/>
    <w:rsid w:val="00734E09"/>
    <w:rsid w:val="007436AB"/>
    <w:rsid w:val="007652A2"/>
    <w:rsid w:val="007675A0"/>
    <w:rsid w:val="007758F7"/>
    <w:rsid w:val="007A19BD"/>
    <w:rsid w:val="007A4858"/>
    <w:rsid w:val="007B1223"/>
    <w:rsid w:val="007C50AC"/>
    <w:rsid w:val="007D2603"/>
    <w:rsid w:val="007D3E46"/>
    <w:rsid w:val="007D7BA1"/>
    <w:rsid w:val="007F131F"/>
    <w:rsid w:val="007F1486"/>
    <w:rsid w:val="0080084D"/>
    <w:rsid w:val="0080090D"/>
    <w:rsid w:val="00812E9A"/>
    <w:rsid w:val="00823FA3"/>
    <w:rsid w:val="00830B13"/>
    <w:rsid w:val="008315DC"/>
    <w:rsid w:val="008353B4"/>
    <w:rsid w:val="00836B18"/>
    <w:rsid w:val="0084548B"/>
    <w:rsid w:val="00847A01"/>
    <w:rsid w:val="00862C97"/>
    <w:rsid w:val="00870176"/>
    <w:rsid w:val="00876BC2"/>
    <w:rsid w:val="00885CC5"/>
    <w:rsid w:val="008B4E60"/>
    <w:rsid w:val="008C4699"/>
    <w:rsid w:val="008C497C"/>
    <w:rsid w:val="008E20DC"/>
    <w:rsid w:val="008E493E"/>
    <w:rsid w:val="008E559D"/>
    <w:rsid w:val="00921D75"/>
    <w:rsid w:val="009221FC"/>
    <w:rsid w:val="00923F50"/>
    <w:rsid w:val="00946A35"/>
    <w:rsid w:val="00993366"/>
    <w:rsid w:val="00996447"/>
    <w:rsid w:val="009A2776"/>
    <w:rsid w:val="009B3FE3"/>
    <w:rsid w:val="009B5117"/>
    <w:rsid w:val="009F6653"/>
    <w:rsid w:val="009F71C2"/>
    <w:rsid w:val="00A27E93"/>
    <w:rsid w:val="00A41783"/>
    <w:rsid w:val="00A54C50"/>
    <w:rsid w:val="00A82A64"/>
    <w:rsid w:val="00AA18F6"/>
    <w:rsid w:val="00AA777A"/>
    <w:rsid w:val="00AC4941"/>
    <w:rsid w:val="00AF4E9F"/>
    <w:rsid w:val="00B00AC1"/>
    <w:rsid w:val="00B17438"/>
    <w:rsid w:val="00B21320"/>
    <w:rsid w:val="00B36ED9"/>
    <w:rsid w:val="00B40D9B"/>
    <w:rsid w:val="00B65A75"/>
    <w:rsid w:val="00B86603"/>
    <w:rsid w:val="00B91A11"/>
    <w:rsid w:val="00BB6763"/>
    <w:rsid w:val="00BB7DA8"/>
    <w:rsid w:val="00C00275"/>
    <w:rsid w:val="00C00981"/>
    <w:rsid w:val="00C061BF"/>
    <w:rsid w:val="00C15D48"/>
    <w:rsid w:val="00C175ED"/>
    <w:rsid w:val="00C32DC5"/>
    <w:rsid w:val="00C566D8"/>
    <w:rsid w:val="00C77F04"/>
    <w:rsid w:val="00C82A42"/>
    <w:rsid w:val="00CB1EDC"/>
    <w:rsid w:val="00CB60A0"/>
    <w:rsid w:val="00CC140A"/>
    <w:rsid w:val="00CC32D8"/>
    <w:rsid w:val="00CC3FDC"/>
    <w:rsid w:val="00CD192E"/>
    <w:rsid w:val="00CE6189"/>
    <w:rsid w:val="00D01B14"/>
    <w:rsid w:val="00D0306A"/>
    <w:rsid w:val="00D20C20"/>
    <w:rsid w:val="00D35833"/>
    <w:rsid w:val="00D413F6"/>
    <w:rsid w:val="00D44CF8"/>
    <w:rsid w:val="00D475CC"/>
    <w:rsid w:val="00D661A8"/>
    <w:rsid w:val="00D84F1A"/>
    <w:rsid w:val="00D86118"/>
    <w:rsid w:val="00D9317F"/>
    <w:rsid w:val="00D95260"/>
    <w:rsid w:val="00D96A0B"/>
    <w:rsid w:val="00DA5E53"/>
    <w:rsid w:val="00DB7FA3"/>
    <w:rsid w:val="00DC5A7F"/>
    <w:rsid w:val="00DF7330"/>
    <w:rsid w:val="00E074AF"/>
    <w:rsid w:val="00E14183"/>
    <w:rsid w:val="00E22E52"/>
    <w:rsid w:val="00E37C51"/>
    <w:rsid w:val="00E46DEA"/>
    <w:rsid w:val="00E717D9"/>
    <w:rsid w:val="00EB417F"/>
    <w:rsid w:val="00EC463D"/>
    <w:rsid w:val="00EE6CE3"/>
    <w:rsid w:val="00F02C4C"/>
    <w:rsid w:val="00F050D4"/>
    <w:rsid w:val="00F27797"/>
    <w:rsid w:val="00F43648"/>
    <w:rsid w:val="00F44750"/>
    <w:rsid w:val="00F61A6B"/>
    <w:rsid w:val="00F658E2"/>
    <w:rsid w:val="00F91B30"/>
    <w:rsid w:val="00FB0C58"/>
    <w:rsid w:val="00FB4254"/>
    <w:rsid w:val="00FF3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2995F5"/>
  <w15:docId w15:val="{6A1D2974-CD3F-4E54-BE58-DF50C77B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3.xml><?xml version="1.0" encoding="utf-8"?>
<ds:datastoreItem xmlns:ds="http://schemas.openxmlformats.org/officeDocument/2006/customXml" ds:itemID="{CCA156BD-AE09-419E-89B7-61D5B2B70B66}">
  <ds:schemaRefs>
    <ds:schemaRef ds:uri="http://schemas.openxmlformats.org/officeDocument/2006/bibliography"/>
  </ds:schemaRefs>
</ds:datastoreItem>
</file>

<file path=customXml/itemProps4.xml><?xml version="1.0" encoding="utf-8"?>
<ds:datastoreItem xmlns:ds="http://schemas.openxmlformats.org/officeDocument/2006/customXml" ds:itemID="{6A164120-65FA-45E5-A54F-281A548D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47</cp:revision>
  <cp:lastPrinted>2018-08-29T01:35:00Z</cp:lastPrinted>
  <dcterms:created xsi:type="dcterms:W3CDTF">2019-06-25T01:13:00Z</dcterms:created>
  <dcterms:modified xsi:type="dcterms:W3CDTF">2025-06-12T03:07:00Z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