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Pr>
              <w:rFonts w:ascii="Arial" w:hAnsi="Arial" w:cs="Arial"/>
              <w:noProof/>
              <w:color w:val="2F5897" w:themeColor="text2"/>
              <w:sz w:val="96"/>
              <w:lang w:eastAsia="en-AU"/>
              <w14:ligatures w14:val="none"/>
              <w14:cntxtAlts w14:val="0"/>
            </w:rPr>
            <w:drawing>
              <wp:anchor distT="0" distB="0" distL="114300" distR="114300" simplePos="0" relativeHeight="251658240"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Default="00951E43" w:rsidP="008F2A8A">
          <w:pPr>
            <w:pStyle w:val="Title"/>
            <w:rPr>
              <w:rFonts w:ascii="Arial" w:hAnsi="Arial" w:cs="Arial"/>
              <w:color w:val="002060"/>
            </w:rPr>
          </w:pPr>
        </w:p>
        <w:p w14:paraId="39BBB81C" w14:textId="77777777" w:rsidR="00526B6D" w:rsidRDefault="00526B6D" w:rsidP="0040042E">
          <w:pPr>
            <w:pStyle w:val="Heading3"/>
            <w:rPr>
              <w:rFonts w:ascii="Arial" w:hAnsi="Arial" w:cs="Arial"/>
              <w:b w:val="0"/>
              <w:bCs w:val="0"/>
              <w:color w:val="002060"/>
              <w:spacing w:val="5"/>
              <w:kern w:val="28"/>
              <w:sz w:val="56"/>
              <w:szCs w:val="56"/>
              <w14:ligatures w14:val="standardContextual"/>
              <w14:cntxtAlts/>
            </w:rPr>
          </w:pPr>
        </w:p>
        <w:p w14:paraId="501CFEB3" w14:textId="4164A035" w:rsidR="00951E43" w:rsidRDefault="00291BC7" w:rsidP="0040042E">
          <w:pPr>
            <w:pStyle w:val="Heading3"/>
            <w:rPr>
              <w:rFonts w:ascii="Arial" w:hAnsi="Arial" w:cs="Arial"/>
            </w:rPr>
          </w:pPr>
          <w:r>
            <w:rPr>
              <w:rFonts w:ascii="Arial" w:hAnsi="Arial" w:cs="Arial"/>
              <w:b w:val="0"/>
              <w:bCs w:val="0"/>
              <w:color w:val="002060"/>
              <w:spacing w:val="5"/>
              <w:kern w:val="28"/>
              <w:sz w:val="56"/>
              <w:szCs w:val="56"/>
              <w14:ligatures w14:val="standardContextual"/>
              <w14:cntxtAlts/>
            </w:rPr>
            <w:t>Policies and Procedures</w:t>
          </w:r>
          <w:r w:rsidR="00526B6D" w:rsidRPr="00526B6D">
            <w:rPr>
              <w:rFonts w:ascii="Arial" w:hAnsi="Arial" w:cs="Arial"/>
              <w:b w:val="0"/>
              <w:bCs w:val="0"/>
              <w:color w:val="002060"/>
              <w:spacing w:val="5"/>
              <w:kern w:val="28"/>
              <w:sz w:val="56"/>
              <w:szCs w:val="56"/>
              <w14:ligatures w14:val="standardContextual"/>
              <w14:cntxtAlts/>
            </w:rPr>
            <w:t xml:space="preserve"> Policy</w:t>
          </w:r>
        </w:p>
        <w:p w14:paraId="221DD947" w14:textId="7074700C" w:rsidR="00B91A11" w:rsidRPr="008F2A8A" w:rsidRDefault="00526B6D" w:rsidP="0040042E">
          <w:pPr>
            <w:pStyle w:val="Heading3"/>
            <w:rPr>
              <w:rFonts w:ascii="Arial" w:hAnsi="Arial" w:cs="Arial"/>
            </w:rPr>
          </w:pPr>
          <w:r>
            <w:rPr>
              <w:rFonts w:ascii="Arial" w:hAnsi="Arial" w:cs="Arial"/>
            </w:rPr>
            <w:br/>
          </w:r>
          <w:r w:rsidR="00B91A11" w:rsidRPr="008F2A8A">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9"/>
            <w:gridCol w:w="2455"/>
            <w:gridCol w:w="2475"/>
            <w:gridCol w:w="2454"/>
          </w:tblGrid>
          <w:tr w:rsidR="00B91A11" w:rsidRPr="008F2A8A" w14:paraId="65AB3EE6" w14:textId="77777777" w:rsidTr="002C7580">
            <w:trPr>
              <w:trHeight w:val="510"/>
              <w:jc w:val="center"/>
            </w:trPr>
            <w:tc>
              <w:tcPr>
                <w:tcW w:w="2359" w:type="dxa"/>
                <w:tcBorders>
                  <w:left w:val="single" w:sz="4" w:space="0" w:color="auto"/>
                </w:tcBorders>
                <w:vAlign w:val="center"/>
              </w:tcPr>
              <w:p w14:paraId="6E253EEC" w14:textId="77777777" w:rsidR="002D3ECD" w:rsidRPr="008F2A8A" w:rsidRDefault="002D3ECD" w:rsidP="009A6DC9">
                <w:pPr>
                  <w:pStyle w:val="TableHeading"/>
                  <w:rPr>
                    <w:rFonts w:ascii="Arial" w:hAnsi="Arial" w:cs="Arial"/>
                  </w:rPr>
                </w:pPr>
                <w:r w:rsidRPr="008F2A8A">
                  <w:rPr>
                    <w:rFonts w:ascii="Arial" w:hAnsi="Arial" w:cs="Arial"/>
                  </w:rPr>
                  <w:t>Policy Title:</w:t>
                </w:r>
              </w:p>
            </w:tc>
            <w:tc>
              <w:tcPr>
                <w:tcW w:w="7384" w:type="dxa"/>
                <w:gridSpan w:val="3"/>
                <w:tcBorders>
                  <w:right w:val="single" w:sz="4" w:space="0" w:color="auto"/>
                </w:tcBorders>
                <w:vAlign w:val="center"/>
              </w:tcPr>
              <w:p w14:paraId="25EBE48A" w14:textId="0118DD73" w:rsidR="002D3ECD" w:rsidRPr="008F2A8A" w:rsidRDefault="00291BC7" w:rsidP="00F010A3">
                <w:pPr>
                  <w:pStyle w:val="TableText"/>
                  <w:rPr>
                    <w:rFonts w:ascii="Arial" w:hAnsi="Arial" w:cs="Arial"/>
                  </w:rPr>
                </w:pPr>
                <w:r w:rsidRPr="00291BC7">
                  <w:rPr>
                    <w:rFonts w:ascii="Arial" w:hAnsi="Arial" w:cs="Arial"/>
                  </w:rPr>
                  <w:t>Policies and Procedures Policy</w:t>
                </w:r>
              </w:p>
            </w:tc>
          </w:tr>
          <w:tr w:rsidR="00214AAE" w:rsidRPr="008F2A8A" w14:paraId="2CF200DE" w14:textId="77777777" w:rsidTr="002C7580">
            <w:trPr>
              <w:trHeight w:val="510"/>
              <w:jc w:val="center"/>
            </w:trPr>
            <w:tc>
              <w:tcPr>
                <w:tcW w:w="2359" w:type="dxa"/>
                <w:tcBorders>
                  <w:left w:val="single" w:sz="4" w:space="0" w:color="auto"/>
                </w:tcBorders>
                <w:vAlign w:val="center"/>
              </w:tcPr>
              <w:p w14:paraId="7598E34E" w14:textId="77777777" w:rsidR="00214AAE" w:rsidRPr="008F2A8A" w:rsidRDefault="00214AAE" w:rsidP="009A6DC9">
                <w:pPr>
                  <w:pStyle w:val="TableHeading"/>
                  <w:rPr>
                    <w:rFonts w:ascii="Arial" w:hAnsi="Arial" w:cs="Arial"/>
                  </w:rPr>
                </w:pPr>
                <w:r w:rsidRPr="008F2A8A">
                  <w:rPr>
                    <w:rFonts w:ascii="Arial" w:hAnsi="Arial" w:cs="Arial"/>
                  </w:rPr>
                  <w:t>Version Number:</w:t>
                </w:r>
              </w:p>
            </w:tc>
            <w:tc>
              <w:tcPr>
                <w:tcW w:w="7384" w:type="dxa"/>
                <w:gridSpan w:val="3"/>
                <w:tcBorders>
                  <w:right w:val="single" w:sz="4" w:space="0" w:color="auto"/>
                </w:tcBorders>
                <w:vAlign w:val="center"/>
              </w:tcPr>
              <w:p w14:paraId="05551ACE" w14:textId="2B9B34C1" w:rsidR="00214AAE" w:rsidRPr="008F2A8A" w:rsidRDefault="00214AAE" w:rsidP="00F010A3">
                <w:pPr>
                  <w:pStyle w:val="TableText"/>
                  <w:rPr>
                    <w:rFonts w:ascii="Arial" w:hAnsi="Arial" w:cs="Arial"/>
                  </w:rPr>
                </w:pPr>
              </w:p>
            </w:tc>
          </w:tr>
          <w:tr w:rsidR="00B91A11" w:rsidRPr="008F2A8A" w14:paraId="7094AD5F" w14:textId="77777777" w:rsidTr="002C7580">
            <w:trPr>
              <w:trHeight w:val="510"/>
              <w:jc w:val="center"/>
            </w:trPr>
            <w:tc>
              <w:tcPr>
                <w:tcW w:w="2359" w:type="dxa"/>
                <w:tcBorders>
                  <w:left w:val="single" w:sz="4" w:space="0" w:color="auto"/>
                </w:tcBorders>
                <w:vAlign w:val="center"/>
              </w:tcPr>
              <w:p w14:paraId="5B1808AF" w14:textId="77777777" w:rsidR="002D3ECD" w:rsidRPr="008F2A8A" w:rsidRDefault="002D3ECD" w:rsidP="009A6DC9">
                <w:pPr>
                  <w:pStyle w:val="TableHeading"/>
                  <w:rPr>
                    <w:rFonts w:ascii="Arial" w:hAnsi="Arial" w:cs="Arial"/>
                  </w:rPr>
                </w:pPr>
                <w:r w:rsidRPr="008F2A8A">
                  <w:rPr>
                    <w:rFonts w:ascii="Arial" w:hAnsi="Arial" w:cs="Arial"/>
                  </w:rPr>
                  <w:t>Date Ratified:</w:t>
                </w:r>
              </w:p>
            </w:tc>
            <w:tc>
              <w:tcPr>
                <w:tcW w:w="2455" w:type="dxa"/>
                <w:vAlign w:val="center"/>
              </w:tcPr>
              <w:p w14:paraId="4411F8B7" w14:textId="77777777" w:rsidR="002D3ECD" w:rsidRPr="008F2A8A" w:rsidRDefault="002D3ECD" w:rsidP="00814BC7">
                <w:pPr>
                  <w:pStyle w:val="TableText"/>
                  <w:rPr>
                    <w:rFonts w:ascii="Arial" w:hAnsi="Arial" w:cs="Arial"/>
                  </w:rPr>
                </w:pPr>
              </w:p>
            </w:tc>
            <w:tc>
              <w:tcPr>
                <w:tcW w:w="2475" w:type="dxa"/>
                <w:vAlign w:val="center"/>
              </w:tcPr>
              <w:p w14:paraId="007F67D7" w14:textId="77777777" w:rsidR="002D3ECD" w:rsidRPr="008F2A8A" w:rsidRDefault="002D3ECD" w:rsidP="00F010A3">
                <w:pPr>
                  <w:pStyle w:val="TableHeading"/>
                  <w:rPr>
                    <w:rFonts w:ascii="Arial" w:hAnsi="Arial" w:cs="Arial"/>
                  </w:rPr>
                </w:pPr>
                <w:r w:rsidRPr="008F2A8A">
                  <w:rPr>
                    <w:rFonts w:ascii="Arial" w:hAnsi="Arial" w:cs="Arial"/>
                  </w:rPr>
                  <w:t>Review Date:</w:t>
                </w:r>
              </w:p>
            </w:tc>
            <w:tc>
              <w:tcPr>
                <w:tcW w:w="2454" w:type="dxa"/>
                <w:tcBorders>
                  <w:right w:val="single" w:sz="4" w:space="0" w:color="auto"/>
                </w:tcBorders>
                <w:vAlign w:val="center"/>
              </w:tcPr>
              <w:p w14:paraId="32BF510A" w14:textId="77777777" w:rsidR="002D3ECD" w:rsidRPr="008F2A8A" w:rsidRDefault="002D3ECD" w:rsidP="00F010A3">
                <w:pPr>
                  <w:pStyle w:val="TableText"/>
                  <w:rPr>
                    <w:rFonts w:ascii="Arial" w:hAnsi="Arial" w:cs="Arial"/>
                  </w:rPr>
                </w:pPr>
              </w:p>
            </w:tc>
          </w:tr>
        </w:tbl>
        <w:p w14:paraId="72DFD8CD" w14:textId="77777777" w:rsidR="00C60914" w:rsidRDefault="00C60914" w:rsidP="00C60914">
          <w:pPr>
            <w:pBdr>
              <w:top w:val="nil"/>
              <w:left w:val="nil"/>
              <w:bottom w:val="nil"/>
              <w:right w:val="nil"/>
              <w:between w:val="nil"/>
            </w:pBdr>
            <w:ind w:left="720" w:hanging="720"/>
            <w:rPr>
              <w:rFonts w:ascii="Arial" w:eastAsia="Arial" w:hAnsi="Arial" w:cs="Arial"/>
              <w:szCs w:val="24"/>
            </w:rPr>
          </w:pPr>
          <w:bookmarkStart w:id="0" w:name="_Toc523148719"/>
        </w:p>
        <w:p w14:paraId="67A5D79C" w14:textId="33A5B6EB" w:rsidR="00F00728" w:rsidRDefault="00F00728" w:rsidP="00F00728">
          <w:pPr>
            <w:pStyle w:val="Heading2"/>
          </w:pPr>
          <w:r>
            <w:t>Introduction</w:t>
          </w:r>
        </w:p>
        <w:p w14:paraId="57B1A941" w14:textId="1600B9EE" w:rsidR="00F00728" w:rsidRDefault="00F65B63" w:rsidP="00F00728">
          <w:pPr>
            <w:rPr>
              <w:rFonts w:ascii="Arial" w:eastAsia="Arial" w:hAnsi="Arial" w:cs="Arial"/>
            </w:rPr>
          </w:pPr>
          <w:r w:rsidRPr="00F65B63">
            <w:rPr>
              <w:rFonts w:ascii="Arial" w:eastAsia="Arial" w:hAnsi="Arial" w:cs="Arial"/>
            </w:rPr>
            <w:t>[Name of Organisation] needs a clear process for creating, passing, and implementing policy.  Policy documents should be based on a uniform template, and policy documents should be gathered together as a policy manual.</w:t>
          </w:r>
        </w:p>
        <w:p w14:paraId="0396863F" w14:textId="77777777" w:rsidR="00F65B63" w:rsidRDefault="00F65B63" w:rsidP="00F00728"/>
        <w:p w14:paraId="6D61A455" w14:textId="01DF90C8" w:rsidR="00F00728" w:rsidRDefault="00F00728" w:rsidP="00F00728">
          <w:pPr>
            <w:pStyle w:val="Heading2"/>
          </w:pPr>
          <w:r>
            <w:t>Purpose</w:t>
          </w:r>
        </w:p>
        <w:p w14:paraId="4DCE7D89" w14:textId="77777777" w:rsidR="00F937DF" w:rsidRPr="00F937DF" w:rsidRDefault="00F937DF" w:rsidP="00F937DF">
          <w:pPr>
            <w:rPr>
              <w:rFonts w:ascii="Arial" w:eastAsia="Arial" w:hAnsi="Arial" w:cs="Arial"/>
            </w:rPr>
          </w:pPr>
          <w:r w:rsidRPr="00F937DF">
            <w:rPr>
              <w:rFonts w:ascii="Arial" w:eastAsia="Arial" w:hAnsi="Arial" w:cs="Arial"/>
            </w:rPr>
            <w:t>The purpose of this policy is to:</w:t>
          </w:r>
        </w:p>
        <w:p w14:paraId="05B2CD03" w14:textId="7FE5720F" w:rsidR="00F937DF" w:rsidRPr="00F937DF" w:rsidRDefault="00F937DF" w:rsidP="00F937DF">
          <w:pPr>
            <w:pStyle w:val="ListParagraph"/>
            <w:numPr>
              <w:ilvl w:val="0"/>
              <w:numId w:val="49"/>
            </w:numPr>
            <w:rPr>
              <w:rFonts w:ascii="Arial" w:eastAsia="Arial" w:hAnsi="Arial" w:cs="Arial" w:hint="eastAsia"/>
            </w:rPr>
          </w:pPr>
          <w:r w:rsidRPr="00F937DF">
            <w:rPr>
              <w:rFonts w:ascii="Arial" w:eastAsia="Arial" w:hAnsi="Arial" w:cs="Arial" w:hint="eastAsia"/>
            </w:rPr>
            <w:t>Lay down a template for all policies and procedures;</w:t>
          </w:r>
        </w:p>
        <w:p w14:paraId="376F9035" w14:textId="20559905" w:rsidR="00F937DF" w:rsidRPr="00F937DF" w:rsidRDefault="00F937DF" w:rsidP="00F937DF">
          <w:pPr>
            <w:pStyle w:val="ListParagraph"/>
            <w:numPr>
              <w:ilvl w:val="0"/>
              <w:numId w:val="49"/>
            </w:numPr>
            <w:rPr>
              <w:rFonts w:ascii="Arial" w:eastAsia="Arial" w:hAnsi="Arial" w:cs="Arial" w:hint="eastAsia"/>
            </w:rPr>
          </w:pPr>
          <w:r w:rsidRPr="00F937DF">
            <w:rPr>
              <w:rFonts w:ascii="Arial" w:eastAsia="Arial" w:hAnsi="Arial" w:cs="Arial" w:hint="eastAsia"/>
            </w:rPr>
            <w:t>outline a standard procedure for policies and procedures to be taken from their first drafts through to implementation; and to</w:t>
          </w:r>
        </w:p>
        <w:p w14:paraId="795FB0D0" w14:textId="0EDC1A21" w:rsidR="00F00728" w:rsidRDefault="00F937DF" w:rsidP="00F937DF">
          <w:pPr>
            <w:pStyle w:val="ListParagraph"/>
            <w:numPr>
              <w:ilvl w:val="0"/>
              <w:numId w:val="49"/>
            </w:numPr>
          </w:pPr>
          <w:r w:rsidRPr="00F937DF">
            <w:rPr>
              <w:rFonts w:ascii="Arial" w:eastAsia="Arial" w:hAnsi="Arial" w:cs="Arial" w:hint="eastAsia"/>
            </w:rPr>
            <w:t>illustrate a typical usage of the template.</w:t>
          </w:r>
        </w:p>
        <w:p w14:paraId="75F1661C" w14:textId="77777777" w:rsidR="00F00728" w:rsidRDefault="00F00728" w:rsidP="00F00728"/>
        <w:p w14:paraId="345A4996" w14:textId="0A91C35F" w:rsidR="00F00728" w:rsidRDefault="00F00728" w:rsidP="00F00728">
          <w:pPr>
            <w:pStyle w:val="Heading2"/>
          </w:pPr>
          <w:r>
            <w:t>Policy</w:t>
          </w:r>
        </w:p>
        <w:p w14:paraId="77C81D4B" w14:textId="77777777" w:rsidR="00D2415E" w:rsidRPr="00D2415E" w:rsidRDefault="00D2415E" w:rsidP="00D2415E">
          <w:pPr>
            <w:rPr>
              <w:rFonts w:ascii="Arial" w:eastAsia="Arial" w:hAnsi="Arial" w:cs="Arial"/>
            </w:rPr>
          </w:pPr>
          <w:r w:rsidRPr="00D2415E">
            <w:rPr>
              <w:rFonts w:ascii="Arial" w:eastAsia="Arial" w:hAnsi="Arial" w:cs="Arial"/>
            </w:rPr>
            <w:t>Fundamental decisions as to the aims, goals and mission of the organisation must be approved by the membership at a general meeting.</w:t>
          </w:r>
        </w:p>
        <w:p w14:paraId="5318B9C9" w14:textId="77777777" w:rsidR="00D2415E" w:rsidRPr="00D2415E" w:rsidRDefault="00D2415E" w:rsidP="00D2415E">
          <w:pPr>
            <w:rPr>
              <w:rFonts w:ascii="Arial" w:eastAsia="Arial" w:hAnsi="Arial" w:cs="Arial"/>
            </w:rPr>
          </w:pPr>
          <w:r w:rsidRPr="00D2415E">
            <w:rPr>
              <w:rFonts w:ascii="Arial" w:eastAsia="Arial" w:hAnsi="Arial" w:cs="Arial"/>
            </w:rPr>
            <w:t xml:space="preserve">Policies, which are designed to serve the organisation’s mission by ensuring that day-to-day decisions are informed by deliberation and consultation, must be approved by the Board.  </w:t>
          </w:r>
          <w:r w:rsidRPr="00D2415E">
            <w:rPr>
              <w:rFonts w:ascii="Arial" w:eastAsia="Arial" w:hAnsi="Arial" w:cs="Arial"/>
            </w:rPr>
            <w:lastRenderedPageBreak/>
            <w:t xml:space="preserve">The Board may delegate to the CEO r other staff the responsibility for designing procedures to put those policies into effect. </w:t>
          </w:r>
        </w:p>
        <w:p w14:paraId="11DFBFD0" w14:textId="769C3174" w:rsidR="00F00728" w:rsidRDefault="00D2415E" w:rsidP="00D2415E">
          <w:pPr>
            <w:rPr>
              <w:rFonts w:ascii="Arial" w:eastAsia="Arial" w:hAnsi="Arial" w:cs="Arial"/>
            </w:rPr>
          </w:pPr>
          <w:r w:rsidRPr="00D2415E">
            <w:rPr>
              <w:rFonts w:ascii="Arial" w:eastAsia="Arial" w:hAnsi="Arial" w:cs="Arial"/>
            </w:rPr>
            <w:t>Policies, which lay down broad principles, should be differentiated from procedures, which provide mechanisms appropriate to particular circumstances.</w:t>
          </w:r>
        </w:p>
        <w:p w14:paraId="6AA17EB6" w14:textId="77777777" w:rsidR="00F00728" w:rsidRDefault="004829D8" w:rsidP="00C65E60">
          <w:pPr>
            <w:rPr>
              <w:rFonts w:ascii="Arial" w:eastAsiaTheme="minorHAnsi" w:hAnsi="Arial" w:cs="Arial"/>
            </w:rPr>
          </w:pPr>
        </w:p>
      </w:sdtContent>
    </w:sdt>
    <w:bookmarkEnd w:id="0" w:displacedByCustomXml="prev"/>
    <w:p w14:paraId="031A2821" w14:textId="25A19C8C" w:rsidR="00664E92" w:rsidRDefault="00F00728" w:rsidP="00DB453C">
      <w:pPr>
        <w:pStyle w:val="Heading2"/>
      </w:pPr>
      <w:r w:rsidRPr="00F00728">
        <w:t>Responsibilities</w:t>
      </w:r>
    </w:p>
    <w:p w14:paraId="10A4419F" w14:textId="63060DED" w:rsidR="00741D05" w:rsidRDefault="00D30CD8" w:rsidP="00741D05">
      <w:pPr>
        <w:rPr>
          <w:rFonts w:ascii="Arial" w:eastAsia="Arial" w:hAnsi="Arial" w:cs="Arial"/>
        </w:rPr>
      </w:pPr>
      <w:r w:rsidRPr="00D30CD8">
        <w:rPr>
          <w:rFonts w:ascii="Arial" w:eastAsia="Arial" w:hAnsi="Arial" w:cs="Arial"/>
        </w:rPr>
        <w:t xml:space="preserve">The Board shall nominate a Policy Officer to be responsible for ensuring that proper procedures for the development, consultation, acceptance, recording, and implementation of every policy are designed and adhered to.  </w:t>
      </w:r>
    </w:p>
    <w:p w14:paraId="3C214611" w14:textId="77777777" w:rsidR="00D30CD8" w:rsidRDefault="00D30CD8" w:rsidP="00741D05">
      <w:pPr>
        <w:rPr>
          <w:rFonts w:ascii="Arial" w:eastAsia="Arial" w:hAnsi="Arial" w:cs="Arial"/>
        </w:rPr>
      </w:pPr>
    </w:p>
    <w:p w14:paraId="0874BA01" w14:textId="32C95D61" w:rsidR="00D30CD8" w:rsidRDefault="00D30CD8" w:rsidP="00DB453C">
      <w:pPr>
        <w:pStyle w:val="Heading2"/>
      </w:pPr>
      <w:r>
        <w:t>Procedures</w:t>
      </w:r>
    </w:p>
    <w:p w14:paraId="69C18470" w14:textId="77777777" w:rsidR="00DB453C" w:rsidRPr="00DB453C" w:rsidRDefault="00DB453C" w:rsidP="00DB453C">
      <w:pPr>
        <w:rPr>
          <w:rFonts w:ascii="Arial" w:eastAsia="Arial" w:hAnsi="Arial" w:cs="Arial"/>
          <w:color w:val="231F20"/>
        </w:rPr>
      </w:pPr>
      <w:r w:rsidRPr="00DB453C">
        <w:rPr>
          <w:rFonts w:ascii="Arial" w:eastAsia="Arial" w:hAnsi="Arial" w:cs="Arial"/>
          <w:color w:val="231F20"/>
        </w:rPr>
        <w:t>The Board, a sub-committee, or a general meeting will identify the need for a policy document, or for the revision of an existing policy document, and the Board will then identify an author or authors.</w:t>
      </w:r>
    </w:p>
    <w:p w14:paraId="40029A1D" w14:textId="77777777" w:rsidR="00DB453C" w:rsidRPr="00DB453C" w:rsidRDefault="00DB453C" w:rsidP="00DB453C">
      <w:pPr>
        <w:rPr>
          <w:rFonts w:ascii="Arial" w:eastAsia="Arial" w:hAnsi="Arial" w:cs="Arial"/>
          <w:color w:val="231F20"/>
        </w:rPr>
      </w:pPr>
      <w:r w:rsidRPr="00DB453C">
        <w:rPr>
          <w:rFonts w:ascii="Arial" w:eastAsia="Arial" w:hAnsi="Arial" w:cs="Arial"/>
          <w:color w:val="231F20"/>
        </w:rPr>
        <w:t>The author/s will consult with interested members, relevant staff, and persons knowledgeable in the area.  Consultation may take the form of casual conversations, formal meetings, policy development workshops, email forums, etc.</w:t>
      </w:r>
    </w:p>
    <w:p w14:paraId="3EDF287F" w14:textId="77777777" w:rsidR="00DB453C" w:rsidRPr="00DB453C" w:rsidRDefault="00DB453C" w:rsidP="00DB453C">
      <w:pPr>
        <w:rPr>
          <w:rFonts w:ascii="Arial" w:eastAsia="Arial" w:hAnsi="Arial" w:cs="Arial"/>
          <w:color w:val="231F20"/>
        </w:rPr>
      </w:pPr>
      <w:r w:rsidRPr="00DB453C">
        <w:rPr>
          <w:rFonts w:ascii="Arial" w:eastAsia="Arial" w:hAnsi="Arial" w:cs="Arial"/>
          <w:color w:val="231F20"/>
        </w:rPr>
        <w:t xml:space="preserve">The draft policy should be circulated to interested parties and relevant stakeholders for comment.  </w:t>
      </w:r>
    </w:p>
    <w:p w14:paraId="12216170" w14:textId="77777777" w:rsidR="00DB453C" w:rsidRPr="00DB453C" w:rsidRDefault="00DB453C" w:rsidP="00DB453C">
      <w:pPr>
        <w:rPr>
          <w:rFonts w:ascii="Arial" w:eastAsia="Arial" w:hAnsi="Arial" w:cs="Arial"/>
          <w:color w:val="231F20"/>
        </w:rPr>
      </w:pPr>
      <w:r w:rsidRPr="00DB453C">
        <w:rPr>
          <w:rFonts w:ascii="Arial" w:eastAsia="Arial" w:hAnsi="Arial" w:cs="Arial"/>
          <w:color w:val="231F20"/>
        </w:rPr>
        <w:t>The author/s will consider any feedback received and will create a final draft for presentation to the Board.  This should be accompanied with notes on any feedback that was unable to be incorporated, to allow consideration of other issues raised but not included.</w:t>
      </w:r>
    </w:p>
    <w:p w14:paraId="25A3BC3D" w14:textId="77777777" w:rsidR="00DB453C" w:rsidRPr="00DB453C" w:rsidRDefault="00DB453C" w:rsidP="00DB453C">
      <w:pPr>
        <w:rPr>
          <w:rFonts w:ascii="Arial" w:eastAsia="Arial" w:hAnsi="Arial" w:cs="Arial"/>
          <w:color w:val="231F20"/>
        </w:rPr>
      </w:pPr>
      <w:r w:rsidRPr="00DB453C">
        <w:rPr>
          <w:rFonts w:ascii="Arial" w:eastAsia="Arial" w:hAnsi="Arial" w:cs="Arial"/>
          <w:color w:val="231F20"/>
        </w:rPr>
        <w:t>The Board will accept the policy, defer it, reject it, return it to the authors for amendment, or assign revision to other authors.</w:t>
      </w:r>
    </w:p>
    <w:p w14:paraId="3946F2BF" w14:textId="15792CA1" w:rsidR="00D30CD8" w:rsidRDefault="00DB453C" w:rsidP="00DB453C">
      <w:pPr>
        <w:rPr>
          <w:rFonts w:ascii="Arial" w:eastAsia="Arial" w:hAnsi="Arial" w:cs="Arial"/>
          <w:color w:val="231F20"/>
        </w:rPr>
      </w:pPr>
      <w:r w:rsidRPr="00DB453C">
        <w:rPr>
          <w:rFonts w:ascii="Arial" w:eastAsia="Arial" w:hAnsi="Arial" w:cs="Arial"/>
          <w:color w:val="231F20"/>
        </w:rPr>
        <w:t>Following acceptance by the Board the policy shall be added to the Policy Manual as Version 1. All subsequent revisions shall be numbered accordingly (e.g. Version 2, Version 3, etc.</w:t>
      </w:r>
    </w:p>
    <w:p w14:paraId="3A7E62E4" w14:textId="77777777" w:rsidR="00DB453C" w:rsidRDefault="00DB453C" w:rsidP="00DB453C">
      <w:pPr>
        <w:rPr>
          <w:rFonts w:ascii="Arial" w:eastAsia="Arial" w:hAnsi="Arial" w:cs="Arial"/>
          <w:color w:val="231F20"/>
        </w:rPr>
      </w:pPr>
    </w:p>
    <w:p w14:paraId="2FDACBAB" w14:textId="3D3A7DCC" w:rsidR="00DB453C" w:rsidRDefault="00DB453C" w:rsidP="00DB453C">
      <w:pPr>
        <w:pStyle w:val="Heading2"/>
      </w:pPr>
      <w:r>
        <w:t xml:space="preserve">Policy and </w:t>
      </w:r>
      <w:r>
        <w:t>Procedure</w:t>
      </w:r>
      <w:r>
        <w:t xml:space="preserve"> Format</w:t>
      </w:r>
    </w:p>
    <w:p w14:paraId="57D38479" w14:textId="77777777" w:rsidR="004829D8" w:rsidRPr="004829D8" w:rsidRDefault="004829D8" w:rsidP="004829D8">
      <w:pPr>
        <w:rPr>
          <w:rFonts w:ascii="Arial" w:hAnsi="Arial" w:cs="Arial"/>
        </w:rPr>
      </w:pPr>
      <w:r w:rsidRPr="004829D8">
        <w:rPr>
          <w:rFonts w:ascii="Arial" w:hAnsi="Arial" w:cs="Arial"/>
        </w:rPr>
        <w:t>All policy documents will adhere to a standard policy template (which this document is based on), and so will have the same “look and feel” as this document.</w:t>
      </w:r>
    </w:p>
    <w:p w14:paraId="688DF8DC" w14:textId="77777777" w:rsidR="004829D8" w:rsidRPr="004829D8" w:rsidRDefault="004829D8" w:rsidP="004829D8">
      <w:pPr>
        <w:rPr>
          <w:rFonts w:ascii="Arial" w:hAnsi="Arial" w:cs="Arial"/>
        </w:rPr>
      </w:pPr>
      <w:r w:rsidRPr="004829D8">
        <w:rPr>
          <w:rFonts w:ascii="Arial" w:hAnsi="Arial" w:cs="Arial"/>
        </w:rPr>
        <w:t>The format of the policy template will include the following headings:</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6707"/>
      </w:tblGrid>
      <w:tr w:rsidR="004829D8" w:rsidRPr="004829D8" w14:paraId="0880331F" w14:textId="77777777" w:rsidTr="006F240C">
        <w:tc>
          <w:tcPr>
            <w:tcW w:w="1809" w:type="dxa"/>
            <w:vAlign w:val="center"/>
          </w:tcPr>
          <w:p w14:paraId="29910722" w14:textId="77777777" w:rsidR="004829D8" w:rsidRPr="004829D8" w:rsidRDefault="004829D8" w:rsidP="004829D8">
            <w:pPr>
              <w:rPr>
                <w:rFonts w:ascii="Arial" w:hAnsi="Arial" w:cs="Arial"/>
              </w:rPr>
            </w:pPr>
            <w:r w:rsidRPr="004829D8">
              <w:rPr>
                <w:rFonts w:ascii="Arial" w:hAnsi="Arial" w:cs="Arial"/>
                <w:b/>
              </w:rPr>
              <w:t>Heading</w:t>
            </w:r>
          </w:p>
        </w:tc>
        <w:tc>
          <w:tcPr>
            <w:tcW w:w="6707" w:type="dxa"/>
            <w:vAlign w:val="center"/>
          </w:tcPr>
          <w:p w14:paraId="3BCB7CD1" w14:textId="77777777" w:rsidR="004829D8" w:rsidRPr="004829D8" w:rsidRDefault="004829D8" w:rsidP="004829D8">
            <w:pPr>
              <w:rPr>
                <w:rFonts w:ascii="Arial" w:hAnsi="Arial" w:cs="Arial"/>
              </w:rPr>
            </w:pPr>
            <w:r w:rsidRPr="004829D8">
              <w:rPr>
                <w:rFonts w:ascii="Arial" w:hAnsi="Arial" w:cs="Arial"/>
                <w:b/>
              </w:rPr>
              <w:t>Definition</w:t>
            </w:r>
          </w:p>
        </w:tc>
      </w:tr>
      <w:tr w:rsidR="004829D8" w:rsidRPr="004829D8" w14:paraId="065005DC" w14:textId="77777777" w:rsidTr="006F240C">
        <w:tc>
          <w:tcPr>
            <w:tcW w:w="1809" w:type="dxa"/>
            <w:vAlign w:val="center"/>
          </w:tcPr>
          <w:p w14:paraId="3935F3E5"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Policy Number</w:t>
            </w:r>
          </w:p>
        </w:tc>
        <w:tc>
          <w:tcPr>
            <w:tcW w:w="6707" w:type="dxa"/>
            <w:vAlign w:val="center"/>
          </w:tcPr>
          <w:p w14:paraId="65DA648B"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Each policy document has a unique number, starting at 001.  This is referred to in the contents page of the policy manual.</w:t>
            </w:r>
          </w:p>
        </w:tc>
      </w:tr>
      <w:tr w:rsidR="004829D8" w:rsidRPr="004829D8" w14:paraId="077530D0" w14:textId="77777777" w:rsidTr="006F240C">
        <w:tc>
          <w:tcPr>
            <w:tcW w:w="1809" w:type="dxa"/>
            <w:vAlign w:val="center"/>
          </w:tcPr>
          <w:p w14:paraId="46FD88D6"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lastRenderedPageBreak/>
              <w:t>Policy Name</w:t>
            </w:r>
          </w:p>
        </w:tc>
        <w:tc>
          <w:tcPr>
            <w:tcW w:w="6707" w:type="dxa"/>
            <w:vAlign w:val="center"/>
          </w:tcPr>
          <w:p w14:paraId="07775143"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A few unique words that describe the general subject matter of the policy.</w:t>
            </w:r>
          </w:p>
        </w:tc>
      </w:tr>
      <w:tr w:rsidR="004829D8" w:rsidRPr="004829D8" w14:paraId="230669E8" w14:textId="77777777" w:rsidTr="006F240C">
        <w:tc>
          <w:tcPr>
            <w:tcW w:w="1809" w:type="dxa"/>
            <w:vAlign w:val="center"/>
          </w:tcPr>
          <w:p w14:paraId="35DE5B41"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Version Number</w:t>
            </w:r>
          </w:p>
        </w:tc>
        <w:tc>
          <w:tcPr>
            <w:tcW w:w="6707" w:type="dxa"/>
            <w:vAlign w:val="center"/>
          </w:tcPr>
          <w:p w14:paraId="2E5F8F3A"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When a policy is being drafted, its Version Number is “000”.  Once passed at a GM, it becomes version “001”.  Following scheduled or other revisions, this number increases by one.</w:t>
            </w:r>
          </w:p>
        </w:tc>
      </w:tr>
      <w:tr w:rsidR="004829D8" w:rsidRPr="004829D8" w14:paraId="5A1F1303" w14:textId="77777777" w:rsidTr="006F240C">
        <w:tc>
          <w:tcPr>
            <w:tcW w:w="1809" w:type="dxa"/>
            <w:vAlign w:val="center"/>
          </w:tcPr>
          <w:p w14:paraId="4819A7D9"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Drafted By</w:t>
            </w:r>
          </w:p>
        </w:tc>
        <w:tc>
          <w:tcPr>
            <w:tcW w:w="6707" w:type="dxa"/>
            <w:vAlign w:val="center"/>
          </w:tcPr>
          <w:p w14:paraId="1B48FD03"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The person, group of people, subcommittee, etc., that drafted the policy.  These people may be contacted prior to any future changes being made, or regarding any confusion around the original intent of the policy.</w:t>
            </w:r>
          </w:p>
        </w:tc>
      </w:tr>
      <w:tr w:rsidR="004829D8" w:rsidRPr="004829D8" w14:paraId="152B3AD6" w14:textId="77777777" w:rsidTr="006F240C">
        <w:tc>
          <w:tcPr>
            <w:tcW w:w="1809" w:type="dxa"/>
            <w:vAlign w:val="center"/>
          </w:tcPr>
          <w:p w14:paraId="75293965"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Passed by the Board on:</w:t>
            </w:r>
          </w:p>
        </w:tc>
        <w:tc>
          <w:tcPr>
            <w:tcW w:w="6707" w:type="dxa"/>
            <w:vAlign w:val="center"/>
          </w:tcPr>
          <w:p w14:paraId="498BD9B1"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This is the date that the Board approved the policy.</w:t>
            </w:r>
          </w:p>
        </w:tc>
      </w:tr>
      <w:tr w:rsidR="004829D8" w:rsidRPr="004829D8" w14:paraId="78DD34B6" w14:textId="77777777" w:rsidTr="006F240C">
        <w:tc>
          <w:tcPr>
            <w:tcW w:w="1809" w:type="dxa"/>
            <w:vAlign w:val="center"/>
          </w:tcPr>
          <w:p w14:paraId="367CEDEC"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Responsible Person:</w:t>
            </w:r>
          </w:p>
        </w:tc>
        <w:tc>
          <w:tcPr>
            <w:tcW w:w="6707" w:type="dxa"/>
            <w:vAlign w:val="center"/>
          </w:tcPr>
          <w:p w14:paraId="71C049D4"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Person or position responsible for day-to-day implementation of policy.</w:t>
            </w:r>
          </w:p>
        </w:tc>
      </w:tr>
      <w:tr w:rsidR="004829D8" w:rsidRPr="004829D8" w14:paraId="2E18645F" w14:textId="77777777" w:rsidTr="006F240C">
        <w:tc>
          <w:tcPr>
            <w:tcW w:w="1809" w:type="dxa"/>
            <w:vAlign w:val="center"/>
          </w:tcPr>
          <w:p w14:paraId="593C1D22"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Scheduled review date:</w:t>
            </w:r>
          </w:p>
        </w:tc>
        <w:tc>
          <w:tcPr>
            <w:tcW w:w="6707" w:type="dxa"/>
            <w:vAlign w:val="center"/>
          </w:tcPr>
          <w:p w14:paraId="7236744B"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The date set by the Board for review of the policy.  If left blank or “n/a”, the policy will be reviewed two years from the date of approval, or whenever the Board determines that a need has arisen.  Reviews must follow the same development procedure as new policy proposals.</w:t>
            </w:r>
          </w:p>
        </w:tc>
      </w:tr>
      <w:tr w:rsidR="004829D8" w:rsidRPr="004829D8" w14:paraId="5BBF06AF" w14:textId="77777777" w:rsidTr="006F240C">
        <w:tc>
          <w:tcPr>
            <w:tcW w:w="1809" w:type="dxa"/>
            <w:vAlign w:val="center"/>
          </w:tcPr>
          <w:p w14:paraId="78CF658D" w14:textId="77777777" w:rsidR="004829D8" w:rsidRPr="004829D8" w:rsidRDefault="004829D8" w:rsidP="004829D8">
            <w:pPr>
              <w:rPr>
                <w:rFonts w:ascii="Arial" w:hAnsi="Arial" w:cs="Arial"/>
                <w:b/>
                <w:sz w:val="22"/>
              </w:rPr>
            </w:pPr>
            <w:r w:rsidRPr="004829D8">
              <w:rPr>
                <w:rFonts w:ascii="Arial" w:hAnsi="Arial" w:cs="Arial"/>
                <w:smallCaps/>
                <w:sz w:val="22"/>
              </w:rPr>
              <w:t>I</w:t>
            </w:r>
            <w:r w:rsidRPr="004829D8">
              <w:rPr>
                <w:rFonts w:ascii="Arial" w:hAnsi="Arial" w:cs="Arial"/>
                <w:sz w:val="22"/>
              </w:rPr>
              <w:t>ntroduction</w:t>
            </w:r>
          </w:p>
        </w:tc>
        <w:tc>
          <w:tcPr>
            <w:tcW w:w="6707" w:type="dxa"/>
            <w:vAlign w:val="center"/>
          </w:tcPr>
          <w:p w14:paraId="4777D8A5"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 xml:space="preserve">Background information on why this policy exists.  </w:t>
            </w:r>
          </w:p>
        </w:tc>
      </w:tr>
      <w:tr w:rsidR="004829D8" w:rsidRPr="004829D8" w14:paraId="17AF68B9" w14:textId="77777777" w:rsidTr="006F240C">
        <w:trPr>
          <w:trHeight w:val="566"/>
        </w:trPr>
        <w:tc>
          <w:tcPr>
            <w:tcW w:w="1809" w:type="dxa"/>
            <w:vAlign w:val="center"/>
          </w:tcPr>
          <w:p w14:paraId="4A70521F" w14:textId="77777777" w:rsidR="004829D8" w:rsidRPr="004829D8" w:rsidRDefault="004829D8" w:rsidP="004829D8">
            <w:pPr>
              <w:rPr>
                <w:rFonts w:ascii="Arial" w:hAnsi="Arial" w:cs="Arial"/>
                <w:b/>
                <w:sz w:val="22"/>
              </w:rPr>
            </w:pPr>
            <w:r w:rsidRPr="004829D8">
              <w:rPr>
                <w:rFonts w:ascii="Arial" w:hAnsi="Arial" w:cs="Arial"/>
                <w:sz w:val="22"/>
              </w:rPr>
              <w:t>Purpose</w:t>
            </w:r>
          </w:p>
        </w:tc>
        <w:tc>
          <w:tcPr>
            <w:tcW w:w="6707" w:type="dxa"/>
            <w:vAlign w:val="center"/>
          </w:tcPr>
          <w:p w14:paraId="520B5457"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 xml:space="preserve">What this policy seeks to achieve.  </w:t>
            </w:r>
          </w:p>
        </w:tc>
      </w:tr>
      <w:tr w:rsidR="004829D8" w:rsidRPr="004829D8" w14:paraId="5114EE0A" w14:textId="77777777" w:rsidTr="006F240C">
        <w:tc>
          <w:tcPr>
            <w:tcW w:w="1809" w:type="dxa"/>
            <w:vAlign w:val="center"/>
          </w:tcPr>
          <w:p w14:paraId="3F512FE3" w14:textId="77777777" w:rsidR="004829D8" w:rsidRPr="004829D8" w:rsidRDefault="004829D8" w:rsidP="004829D8">
            <w:pPr>
              <w:rPr>
                <w:rFonts w:ascii="Arial" w:hAnsi="Arial" w:cs="Arial"/>
                <w:b/>
                <w:sz w:val="22"/>
              </w:rPr>
            </w:pPr>
            <w:r w:rsidRPr="004829D8">
              <w:rPr>
                <w:rFonts w:ascii="Arial" w:hAnsi="Arial" w:cs="Arial"/>
                <w:sz w:val="22"/>
              </w:rPr>
              <w:t>Policy</w:t>
            </w:r>
          </w:p>
        </w:tc>
        <w:tc>
          <w:tcPr>
            <w:tcW w:w="6707" w:type="dxa"/>
            <w:vAlign w:val="center"/>
          </w:tcPr>
          <w:p w14:paraId="28A6F786"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The actual content of the policy; the details of the position held by the organisation on the topic.</w:t>
            </w:r>
          </w:p>
          <w:p w14:paraId="2872A447"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A policy document may include several sub-headings under this topic, depending on the complexity of the policy matter.</w:t>
            </w:r>
          </w:p>
        </w:tc>
      </w:tr>
      <w:tr w:rsidR="004829D8" w:rsidRPr="004829D8" w14:paraId="634A5373" w14:textId="77777777" w:rsidTr="006F240C">
        <w:tc>
          <w:tcPr>
            <w:tcW w:w="1809" w:type="dxa"/>
            <w:vAlign w:val="center"/>
          </w:tcPr>
          <w:p w14:paraId="2AFCE2F4" w14:textId="77777777" w:rsidR="004829D8" w:rsidRPr="004829D8" w:rsidRDefault="004829D8" w:rsidP="004829D8">
            <w:pPr>
              <w:rPr>
                <w:rFonts w:ascii="Arial" w:hAnsi="Arial" w:cs="Arial"/>
                <w:b/>
                <w:sz w:val="22"/>
              </w:rPr>
            </w:pPr>
            <w:r w:rsidRPr="004829D8">
              <w:rPr>
                <w:rFonts w:ascii="Arial" w:hAnsi="Arial" w:cs="Arial"/>
                <w:sz w:val="22"/>
              </w:rPr>
              <w:t>Responsibilities</w:t>
            </w:r>
          </w:p>
        </w:tc>
        <w:tc>
          <w:tcPr>
            <w:tcW w:w="6707" w:type="dxa"/>
            <w:vAlign w:val="center"/>
          </w:tcPr>
          <w:p w14:paraId="429B8501"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Identifies who is responsible for adhering to, implementing, and monitoring relevant aspects of the policy or procedure.</w:t>
            </w:r>
          </w:p>
        </w:tc>
      </w:tr>
      <w:tr w:rsidR="004829D8" w:rsidRPr="004829D8" w14:paraId="16DED7B4" w14:textId="77777777" w:rsidTr="006F240C">
        <w:tc>
          <w:tcPr>
            <w:tcW w:w="1809" w:type="dxa"/>
            <w:vAlign w:val="center"/>
          </w:tcPr>
          <w:p w14:paraId="357045AF" w14:textId="77777777" w:rsidR="004829D8" w:rsidRPr="004829D8" w:rsidRDefault="004829D8" w:rsidP="004829D8">
            <w:pPr>
              <w:rPr>
                <w:rFonts w:ascii="Arial" w:hAnsi="Arial" w:cs="Arial"/>
                <w:b/>
                <w:sz w:val="22"/>
              </w:rPr>
            </w:pPr>
            <w:r w:rsidRPr="004829D8">
              <w:rPr>
                <w:rFonts w:ascii="Arial" w:hAnsi="Arial" w:cs="Arial"/>
                <w:sz w:val="22"/>
              </w:rPr>
              <w:t>Procedures</w:t>
            </w:r>
          </w:p>
        </w:tc>
        <w:tc>
          <w:tcPr>
            <w:tcW w:w="6707" w:type="dxa"/>
            <w:vAlign w:val="center"/>
          </w:tcPr>
          <w:p w14:paraId="2F2E1B6C"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 xml:space="preserve">Outlines how the policy is implemented on a day-to-day basis.  </w:t>
            </w:r>
          </w:p>
        </w:tc>
      </w:tr>
      <w:tr w:rsidR="004829D8" w:rsidRPr="004829D8" w14:paraId="4C81BAF5" w14:textId="77777777" w:rsidTr="006F240C">
        <w:tc>
          <w:tcPr>
            <w:tcW w:w="1809" w:type="dxa"/>
            <w:vAlign w:val="center"/>
          </w:tcPr>
          <w:p w14:paraId="7E05C338" w14:textId="77777777" w:rsidR="004829D8" w:rsidRPr="004829D8" w:rsidRDefault="004829D8" w:rsidP="004829D8">
            <w:pPr>
              <w:rPr>
                <w:rFonts w:ascii="Arial" w:hAnsi="Arial" w:cs="Arial"/>
                <w:b/>
                <w:sz w:val="22"/>
              </w:rPr>
            </w:pPr>
            <w:r w:rsidRPr="004829D8">
              <w:rPr>
                <w:rFonts w:ascii="Arial" w:hAnsi="Arial" w:cs="Arial"/>
                <w:sz w:val="22"/>
              </w:rPr>
              <w:t>Related Documents</w:t>
            </w:r>
          </w:p>
        </w:tc>
        <w:tc>
          <w:tcPr>
            <w:tcW w:w="6707" w:type="dxa"/>
            <w:vAlign w:val="center"/>
          </w:tcPr>
          <w:p w14:paraId="3E1F2957"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Identifies any other documents that are relevant or important to the policy.  While all written material within the organisation is related in one way or another, there will often be particular documents that should be read in conjunction with the policy.  Examples may include other policies, Acts of Parliament (or sections of relevant text), the organisation’s constitution (or sections of relevant text), etc.  Not all policy documents will have Related Documents.</w:t>
            </w:r>
          </w:p>
        </w:tc>
      </w:tr>
      <w:tr w:rsidR="004829D8" w:rsidRPr="004829D8" w14:paraId="759CD153" w14:textId="77777777" w:rsidTr="006F240C">
        <w:tc>
          <w:tcPr>
            <w:tcW w:w="1809" w:type="dxa"/>
            <w:vAlign w:val="center"/>
          </w:tcPr>
          <w:p w14:paraId="27EE265E" w14:textId="77777777" w:rsidR="004829D8" w:rsidRPr="004829D8" w:rsidRDefault="004829D8" w:rsidP="004829D8">
            <w:pPr>
              <w:rPr>
                <w:rFonts w:ascii="Arial" w:hAnsi="Arial" w:cs="Arial"/>
                <w:b/>
                <w:sz w:val="22"/>
              </w:rPr>
            </w:pPr>
            <w:r w:rsidRPr="004829D8">
              <w:rPr>
                <w:rFonts w:ascii="Arial" w:hAnsi="Arial" w:cs="Arial"/>
                <w:sz w:val="22"/>
              </w:rPr>
              <w:t>Authorisation</w:t>
            </w:r>
          </w:p>
        </w:tc>
        <w:tc>
          <w:tcPr>
            <w:tcW w:w="6707" w:type="dxa"/>
            <w:vAlign w:val="center"/>
          </w:tcPr>
          <w:p w14:paraId="7642A40F" w14:textId="77777777" w:rsidR="004829D8" w:rsidRPr="004829D8" w:rsidRDefault="004829D8" w:rsidP="004829D8">
            <w:pPr>
              <w:rPr>
                <w:rFonts w:ascii="Arial" w:hAnsi="Arial" w:cs="Arial"/>
                <w:color w:val="000000"/>
              </w:rPr>
            </w:pPr>
            <w:r w:rsidRPr="004829D8">
              <w:rPr>
                <w:rFonts w:ascii="Arial" w:eastAsia="Calibri" w:hAnsi="Arial" w:cs="Arial"/>
                <w:color w:val="000000"/>
                <w:sz w:val="22"/>
              </w:rPr>
              <w:t>Certifies that the policy has been through all necessary procedures and is now in force.</w:t>
            </w:r>
          </w:p>
        </w:tc>
      </w:tr>
    </w:tbl>
    <w:p w14:paraId="60DEFD05" w14:textId="77777777" w:rsidR="004829D8" w:rsidRDefault="004829D8" w:rsidP="004829D8">
      <w:pPr>
        <w:rPr>
          <w:rFonts w:ascii="Arial" w:hAnsi="Arial" w:cs="Arial"/>
          <w:b/>
        </w:rPr>
      </w:pPr>
    </w:p>
    <w:p w14:paraId="1C17635A" w14:textId="3F454E70" w:rsidR="004829D8" w:rsidRPr="004829D8" w:rsidRDefault="004829D8" w:rsidP="004829D8">
      <w:pPr>
        <w:rPr>
          <w:rFonts w:ascii="Arial" w:hAnsi="Arial" w:cs="Arial"/>
        </w:rPr>
      </w:pPr>
      <w:r w:rsidRPr="004829D8">
        <w:rPr>
          <w:rFonts w:ascii="Arial" w:hAnsi="Arial" w:cs="Arial"/>
          <w:b/>
        </w:rPr>
        <w:t>Time allocation</w:t>
      </w:r>
    </w:p>
    <w:p w14:paraId="484B3376" w14:textId="77777777" w:rsidR="004829D8" w:rsidRPr="004829D8" w:rsidRDefault="004829D8" w:rsidP="004829D8">
      <w:pPr>
        <w:rPr>
          <w:rFonts w:ascii="Arial" w:hAnsi="Arial" w:cs="Arial"/>
        </w:rPr>
      </w:pPr>
      <w:r w:rsidRPr="004829D8">
        <w:rPr>
          <w:rFonts w:ascii="Arial" w:hAnsi="Arial" w:cs="Arial"/>
        </w:rPr>
        <w:t xml:space="preserve">In the development of a policy document, sufficient time must be given for </w:t>
      </w:r>
    </w:p>
    <w:p w14:paraId="0801FF73" w14:textId="77777777" w:rsidR="004829D8" w:rsidRPr="004829D8" w:rsidRDefault="004829D8" w:rsidP="004829D8">
      <w:pPr>
        <w:rPr>
          <w:rFonts w:ascii="Arial" w:hAnsi="Arial" w:cs="Arial"/>
        </w:rPr>
      </w:pPr>
      <w:r w:rsidRPr="004829D8">
        <w:rPr>
          <w:rFonts w:ascii="Arial" w:hAnsi="Arial" w:cs="Arial"/>
        </w:rPr>
        <w:t xml:space="preserve">consultation with all appropriate persons and bodies </w:t>
      </w:r>
    </w:p>
    <w:p w14:paraId="4FB1A07D" w14:textId="77777777" w:rsidR="004829D8" w:rsidRPr="004829D8" w:rsidRDefault="004829D8" w:rsidP="004829D8">
      <w:pPr>
        <w:rPr>
          <w:rFonts w:ascii="Arial" w:hAnsi="Arial" w:cs="Arial"/>
        </w:rPr>
      </w:pPr>
      <w:r w:rsidRPr="004829D8">
        <w:rPr>
          <w:rFonts w:ascii="Arial" w:hAnsi="Arial" w:cs="Arial"/>
        </w:rPr>
        <w:t>full deliberation by the Board.</w:t>
      </w:r>
    </w:p>
    <w:p w14:paraId="26289C7B" w14:textId="313BACB0" w:rsidR="00DB453C" w:rsidRDefault="004829D8" w:rsidP="004829D8">
      <w:pPr>
        <w:pStyle w:val="Heading2"/>
      </w:pPr>
      <w:r>
        <w:lastRenderedPageBreak/>
        <w:t>Related Documents</w:t>
      </w:r>
    </w:p>
    <w:p w14:paraId="547FC76C" w14:textId="77777777" w:rsidR="004829D8" w:rsidRPr="004829D8" w:rsidRDefault="004829D8" w:rsidP="004829D8">
      <w:pPr>
        <w:rPr>
          <w:lang w:eastAsia="en-AU"/>
        </w:rPr>
      </w:pPr>
    </w:p>
    <w:p w14:paraId="4CAD5738" w14:textId="77777777" w:rsidR="00DB453C" w:rsidRDefault="00DB453C" w:rsidP="00DB453C">
      <w:pPr>
        <w:rPr>
          <w:rFonts w:ascii="Arial" w:eastAsia="Arial" w:hAnsi="Arial" w:cs="Arial"/>
          <w:color w:val="231F20"/>
        </w:rPr>
      </w:pPr>
    </w:p>
    <w:sectPr w:rsidR="00DB453C"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BB1C" w14:textId="77777777" w:rsidR="006A32F3" w:rsidRDefault="006A32F3">
      <w:pPr>
        <w:spacing w:after="0" w:line="240" w:lineRule="auto"/>
      </w:pPr>
      <w:r>
        <w:separator/>
      </w:r>
    </w:p>
  </w:endnote>
  <w:endnote w:type="continuationSeparator" w:id="0">
    <w:p w14:paraId="51A106E7" w14:textId="77777777" w:rsidR="006A32F3" w:rsidRDefault="006A32F3">
      <w:pPr>
        <w:spacing w:after="0" w:line="240" w:lineRule="auto"/>
      </w:pPr>
      <w:r>
        <w:continuationSeparator/>
      </w:r>
    </w:p>
  </w:endnote>
  <w:endnote w:type="continuationNotice" w:id="1">
    <w:p w14:paraId="794CDC63" w14:textId="77777777" w:rsidR="006A32F3" w:rsidRDefault="006A3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ontserrat">
    <w:panose1 w:val="02000505000000020004"/>
    <w:charset w:val="00"/>
    <w:family w:val="auto"/>
    <w:pitch w:val="variable"/>
    <w:sig w:usb0="8000002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2B687"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1228  |  info@nhvic.org.au  |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F04E" w14:textId="77777777" w:rsidR="006A32F3" w:rsidRDefault="006A32F3">
      <w:pPr>
        <w:spacing w:after="0" w:line="240" w:lineRule="auto"/>
      </w:pPr>
      <w:r>
        <w:separator/>
      </w:r>
    </w:p>
  </w:footnote>
  <w:footnote w:type="continuationSeparator" w:id="0">
    <w:p w14:paraId="170CB326" w14:textId="77777777" w:rsidR="006A32F3" w:rsidRDefault="006A32F3">
      <w:pPr>
        <w:spacing w:after="0" w:line="240" w:lineRule="auto"/>
      </w:pPr>
      <w:r>
        <w:continuationSeparator/>
      </w:r>
    </w:p>
  </w:footnote>
  <w:footnote w:type="continuationNotice" w:id="1">
    <w:p w14:paraId="358CEDAB" w14:textId="77777777" w:rsidR="006A32F3" w:rsidRDefault="006A32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A321E"/>
    <w:multiLevelType w:val="multilevel"/>
    <w:tmpl w:val="E026AA72"/>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1800" w:hanging="720"/>
      </w:pPr>
    </w:lvl>
    <w:lvl w:ilvl="3">
      <w:start w:val="1"/>
      <w:numFmt w:val="decimal"/>
      <w:lvlText w:val="●.●.%3.%4"/>
      <w:lvlJc w:val="left"/>
      <w:pPr>
        <w:ind w:left="1800" w:hanging="720"/>
      </w:pPr>
    </w:lvl>
    <w:lvl w:ilvl="4">
      <w:start w:val="1"/>
      <w:numFmt w:val="decimal"/>
      <w:lvlText w:val="●.●.%3.%4.%5"/>
      <w:lvlJc w:val="left"/>
      <w:pPr>
        <w:ind w:left="2160" w:hanging="1080"/>
      </w:pPr>
    </w:lvl>
    <w:lvl w:ilvl="5">
      <w:start w:val="1"/>
      <w:numFmt w:val="decimal"/>
      <w:lvlText w:val="●.●.%3.%4.%5.%6"/>
      <w:lvlJc w:val="left"/>
      <w:pPr>
        <w:ind w:left="2160" w:hanging="1080"/>
      </w:pPr>
    </w:lvl>
    <w:lvl w:ilvl="6">
      <w:start w:val="1"/>
      <w:numFmt w:val="decimal"/>
      <w:lvlText w:val="●.●.%3.%4.%5.%6.%7"/>
      <w:lvlJc w:val="left"/>
      <w:pPr>
        <w:ind w:left="2520" w:hanging="1440"/>
      </w:pPr>
    </w:lvl>
    <w:lvl w:ilvl="7">
      <w:start w:val="1"/>
      <w:numFmt w:val="decimal"/>
      <w:lvlText w:val="●.●.%3.%4.%5.%6.%7.%8"/>
      <w:lvlJc w:val="left"/>
      <w:pPr>
        <w:ind w:left="2520" w:hanging="1440"/>
      </w:pPr>
    </w:lvl>
    <w:lvl w:ilvl="8">
      <w:start w:val="1"/>
      <w:numFmt w:val="decimal"/>
      <w:lvlText w:val="●.●.%3.%4.%5.%6.%7.%8.%9"/>
      <w:lvlJc w:val="left"/>
      <w:pPr>
        <w:ind w:left="2520" w:hanging="1440"/>
      </w:pPr>
    </w:lvl>
  </w:abstractNum>
  <w:abstractNum w:abstractNumId="12"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8027D2"/>
    <w:multiLevelType w:val="multilevel"/>
    <w:tmpl w:val="CB18D2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6"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57CE7"/>
    <w:multiLevelType w:val="multilevel"/>
    <w:tmpl w:val="1B70FC08"/>
    <w:lvl w:ilvl="0">
      <w:start w:val="1"/>
      <w:numFmt w:val="decimal"/>
      <w:lvlText w:val="%1."/>
      <w:lvlJc w:val="left"/>
      <w:pPr>
        <w:ind w:left="360" w:hanging="36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217389"/>
    <w:multiLevelType w:val="multilevel"/>
    <w:tmpl w:val="26D8AFFE"/>
    <w:lvl w:ilvl="0">
      <w:start w:val="1"/>
      <w:numFmt w:val="decimal"/>
      <w:lvlText w:val="%1."/>
      <w:lvlJc w:val="left"/>
      <w:pPr>
        <w:ind w:left="360" w:hanging="360"/>
      </w:pPr>
      <w:rPr>
        <w:rFonts w:ascii="Montserrat" w:eastAsia="Montserrat" w:hAnsi="Montserrat" w:cs="Montserrat"/>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A6C93"/>
    <w:multiLevelType w:val="multilevel"/>
    <w:tmpl w:val="2F0C6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63F66"/>
    <w:multiLevelType w:val="multilevel"/>
    <w:tmpl w:val="EBE4088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68D5A6C"/>
    <w:multiLevelType w:val="multilevel"/>
    <w:tmpl w:val="547459D0"/>
    <w:lvl w:ilvl="0">
      <w:start w:val="1"/>
      <w:numFmt w:val="decimal"/>
      <w:lvlText w:val="%1."/>
      <w:lvlJc w:val="left"/>
      <w:pPr>
        <w:ind w:left="1211" w:hanging="360"/>
      </w:pPr>
    </w:lvl>
    <w:lvl w:ilvl="1">
      <w:start w:val="1"/>
      <w:numFmt w:val="decimal"/>
      <w:lvlText w:val="%1.%2"/>
      <w:lvlJc w:val="left"/>
      <w:pPr>
        <w:ind w:left="1571" w:hanging="720"/>
      </w:pPr>
      <w:rPr>
        <w:i w:val="0"/>
      </w:r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291" w:hanging="1440"/>
      </w:pPr>
    </w:lvl>
    <w:lvl w:ilvl="7">
      <w:start w:val="1"/>
      <w:numFmt w:val="decimal"/>
      <w:lvlText w:val="%1.%2.%3.%4.%5.%6.%7.%8"/>
      <w:lvlJc w:val="left"/>
      <w:pPr>
        <w:ind w:left="2651" w:hanging="1800"/>
      </w:pPr>
    </w:lvl>
    <w:lvl w:ilvl="8">
      <w:start w:val="1"/>
      <w:numFmt w:val="decimal"/>
      <w:lvlText w:val="%1.%2.%3.%4.%5.%6.%7.%8.%9"/>
      <w:lvlJc w:val="left"/>
      <w:pPr>
        <w:ind w:left="2651" w:hanging="1800"/>
      </w:pPr>
    </w:lvl>
  </w:abstractNum>
  <w:abstractNum w:abstractNumId="29"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74225"/>
    <w:multiLevelType w:val="multilevel"/>
    <w:tmpl w:val="9BCEA9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5F5214DA"/>
    <w:multiLevelType w:val="multilevel"/>
    <w:tmpl w:val="266C486A"/>
    <w:lvl w:ilvl="0">
      <w:start w:val="1"/>
      <w:numFmt w:val="bullet"/>
      <w:lvlText w:val="●"/>
      <w:lvlJc w:val="left"/>
      <w:pPr>
        <w:ind w:left="851" w:hanging="426"/>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865" w:hanging="360"/>
      </w:pPr>
      <w:rPr>
        <w:rFonts w:ascii="Courier New" w:eastAsia="Courier New" w:hAnsi="Courier New" w:cs="Courier New"/>
        <w:vertAlign w:val="baseline"/>
      </w:rPr>
    </w:lvl>
    <w:lvl w:ilvl="2">
      <w:start w:val="1"/>
      <w:numFmt w:val="bullet"/>
      <w:lvlText w:val="▪"/>
      <w:lvlJc w:val="left"/>
      <w:pPr>
        <w:ind w:left="2585" w:hanging="360"/>
      </w:pPr>
      <w:rPr>
        <w:rFonts w:ascii="Noto Sans Symbols" w:eastAsia="Noto Sans Symbols" w:hAnsi="Noto Sans Symbols" w:cs="Noto Sans Symbols"/>
        <w:vertAlign w:val="baseline"/>
      </w:rPr>
    </w:lvl>
    <w:lvl w:ilvl="3">
      <w:start w:val="1"/>
      <w:numFmt w:val="bullet"/>
      <w:lvlText w:val="●"/>
      <w:lvlJc w:val="left"/>
      <w:pPr>
        <w:ind w:left="3305" w:hanging="360"/>
      </w:pPr>
      <w:rPr>
        <w:rFonts w:ascii="Noto Sans Symbols" w:eastAsia="Noto Sans Symbols" w:hAnsi="Noto Sans Symbols" w:cs="Noto Sans Symbols"/>
        <w:vertAlign w:val="baseline"/>
      </w:rPr>
    </w:lvl>
    <w:lvl w:ilvl="4">
      <w:start w:val="1"/>
      <w:numFmt w:val="bullet"/>
      <w:lvlText w:val="o"/>
      <w:lvlJc w:val="left"/>
      <w:pPr>
        <w:ind w:left="4025" w:hanging="360"/>
      </w:pPr>
      <w:rPr>
        <w:rFonts w:ascii="Courier New" w:eastAsia="Courier New" w:hAnsi="Courier New" w:cs="Courier New"/>
        <w:vertAlign w:val="baseline"/>
      </w:rPr>
    </w:lvl>
    <w:lvl w:ilvl="5">
      <w:start w:val="1"/>
      <w:numFmt w:val="bullet"/>
      <w:lvlText w:val="▪"/>
      <w:lvlJc w:val="left"/>
      <w:pPr>
        <w:ind w:left="4745" w:hanging="360"/>
      </w:pPr>
      <w:rPr>
        <w:rFonts w:ascii="Noto Sans Symbols" w:eastAsia="Noto Sans Symbols" w:hAnsi="Noto Sans Symbols" w:cs="Noto Sans Symbols"/>
        <w:vertAlign w:val="baseline"/>
      </w:rPr>
    </w:lvl>
    <w:lvl w:ilvl="6">
      <w:start w:val="1"/>
      <w:numFmt w:val="bullet"/>
      <w:lvlText w:val="●"/>
      <w:lvlJc w:val="left"/>
      <w:pPr>
        <w:ind w:left="5465" w:hanging="360"/>
      </w:pPr>
      <w:rPr>
        <w:rFonts w:ascii="Noto Sans Symbols" w:eastAsia="Noto Sans Symbols" w:hAnsi="Noto Sans Symbols" w:cs="Noto Sans Symbols"/>
        <w:vertAlign w:val="baseline"/>
      </w:rPr>
    </w:lvl>
    <w:lvl w:ilvl="7">
      <w:start w:val="1"/>
      <w:numFmt w:val="bullet"/>
      <w:lvlText w:val="o"/>
      <w:lvlJc w:val="left"/>
      <w:pPr>
        <w:ind w:left="6185" w:hanging="360"/>
      </w:pPr>
      <w:rPr>
        <w:rFonts w:ascii="Courier New" w:eastAsia="Courier New" w:hAnsi="Courier New" w:cs="Courier New"/>
        <w:vertAlign w:val="baseline"/>
      </w:rPr>
    </w:lvl>
    <w:lvl w:ilvl="8">
      <w:start w:val="1"/>
      <w:numFmt w:val="bullet"/>
      <w:lvlText w:val="▪"/>
      <w:lvlJc w:val="left"/>
      <w:pPr>
        <w:ind w:left="6905" w:hanging="360"/>
      </w:pPr>
      <w:rPr>
        <w:rFonts w:ascii="Noto Sans Symbols" w:eastAsia="Noto Sans Symbols" w:hAnsi="Noto Sans Symbols" w:cs="Noto Sans Symbols"/>
        <w:vertAlign w:val="baseline"/>
      </w:rPr>
    </w:lvl>
  </w:abstractNum>
  <w:abstractNum w:abstractNumId="37"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BA2171"/>
    <w:multiLevelType w:val="multilevel"/>
    <w:tmpl w:val="5CD0196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6B100F0E"/>
    <w:multiLevelType w:val="multilevel"/>
    <w:tmpl w:val="5C3010F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1C84A9C"/>
    <w:multiLevelType w:val="hybridMultilevel"/>
    <w:tmpl w:val="29564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5"/>
  </w:num>
  <w:num w:numId="2" w16cid:durableId="825826344">
    <w:abstractNumId w:val="47"/>
  </w:num>
  <w:num w:numId="3" w16cid:durableId="2127767176">
    <w:abstractNumId w:val="19"/>
  </w:num>
  <w:num w:numId="4" w16cid:durableId="1627158002">
    <w:abstractNumId w:val="45"/>
  </w:num>
  <w:num w:numId="5" w16cid:durableId="937719007">
    <w:abstractNumId w:val="24"/>
  </w:num>
  <w:num w:numId="6" w16cid:durableId="72313043">
    <w:abstractNumId w:val="31"/>
  </w:num>
  <w:num w:numId="7" w16cid:durableId="2044014247">
    <w:abstractNumId w:val="34"/>
  </w:num>
  <w:num w:numId="8" w16cid:durableId="1239048802">
    <w:abstractNumId w:val="10"/>
  </w:num>
  <w:num w:numId="9" w16cid:durableId="1067148221">
    <w:abstractNumId w:val="12"/>
  </w:num>
  <w:num w:numId="10" w16cid:durableId="1842231377">
    <w:abstractNumId w:val="33"/>
  </w:num>
  <w:num w:numId="11" w16cid:durableId="1497500737">
    <w:abstractNumId w:val="26"/>
  </w:num>
  <w:num w:numId="12" w16cid:durableId="773283843">
    <w:abstractNumId w:val="16"/>
  </w:num>
  <w:num w:numId="13" w16cid:durableId="840237164">
    <w:abstractNumId w:val="44"/>
  </w:num>
  <w:num w:numId="14" w16cid:durableId="529077648">
    <w:abstractNumId w:val="29"/>
  </w:num>
  <w:num w:numId="15" w16cid:durableId="1691489548">
    <w:abstractNumId w:val="14"/>
  </w:num>
  <w:num w:numId="16" w16cid:durableId="354045103">
    <w:abstractNumId w:val="23"/>
  </w:num>
  <w:num w:numId="17" w16cid:durableId="672759031">
    <w:abstractNumId w:val="21"/>
  </w:num>
  <w:num w:numId="18" w16cid:durableId="1451587320">
    <w:abstractNumId w:val="42"/>
  </w:num>
  <w:num w:numId="19" w16cid:durableId="1494444649">
    <w:abstractNumId w:val="46"/>
  </w:num>
  <w:num w:numId="20" w16cid:durableId="1867056380">
    <w:abstractNumId w:val="17"/>
  </w:num>
  <w:num w:numId="21" w16cid:durableId="1595898115">
    <w:abstractNumId w:val="15"/>
  </w:num>
  <w:num w:numId="22" w16cid:durableId="124275260">
    <w:abstractNumId w:val="48"/>
  </w:num>
  <w:num w:numId="23" w16cid:durableId="1387221285">
    <w:abstractNumId w:val="37"/>
  </w:num>
  <w:num w:numId="24" w16cid:durableId="2078168665">
    <w:abstractNumId w:val="49"/>
  </w:num>
  <w:num w:numId="25" w16cid:durableId="129400397">
    <w:abstractNumId w:val="38"/>
  </w:num>
  <w:num w:numId="26" w16cid:durableId="1488519375">
    <w:abstractNumId w:val="22"/>
  </w:num>
  <w:num w:numId="27" w16cid:durableId="168106531">
    <w:abstractNumId w:val="41"/>
  </w:num>
  <w:num w:numId="28" w16cid:durableId="717045904">
    <w:abstractNumId w:val="30"/>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736508131">
    <w:abstractNumId w:val="20"/>
  </w:num>
  <w:num w:numId="40" w16cid:durableId="226113694">
    <w:abstractNumId w:val="28"/>
  </w:num>
  <w:num w:numId="41" w16cid:durableId="220991541">
    <w:abstractNumId w:val="25"/>
  </w:num>
  <w:num w:numId="42" w16cid:durableId="1616405317">
    <w:abstractNumId w:val="11"/>
  </w:num>
  <w:num w:numId="43" w16cid:durableId="1661695538">
    <w:abstractNumId w:val="18"/>
  </w:num>
  <w:num w:numId="44" w16cid:durableId="846332742">
    <w:abstractNumId w:val="40"/>
  </w:num>
  <w:num w:numId="45" w16cid:durableId="831481100">
    <w:abstractNumId w:val="13"/>
  </w:num>
  <w:num w:numId="46" w16cid:durableId="687876887">
    <w:abstractNumId w:val="39"/>
  </w:num>
  <w:num w:numId="47" w16cid:durableId="542598080">
    <w:abstractNumId w:val="32"/>
  </w:num>
  <w:num w:numId="48" w16cid:durableId="1954365299">
    <w:abstractNumId w:val="27"/>
  </w:num>
  <w:num w:numId="49" w16cid:durableId="2135363860">
    <w:abstractNumId w:val="43"/>
  </w:num>
  <w:num w:numId="50" w16cid:durableId="3306450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2E62"/>
    <w:rsid w:val="001C34C5"/>
    <w:rsid w:val="001C58C7"/>
    <w:rsid w:val="001C791E"/>
    <w:rsid w:val="001C7B91"/>
    <w:rsid w:val="001D2B80"/>
    <w:rsid w:val="001D735A"/>
    <w:rsid w:val="001E1254"/>
    <w:rsid w:val="001E21D9"/>
    <w:rsid w:val="001E3510"/>
    <w:rsid w:val="001E43BC"/>
    <w:rsid w:val="001E5BB0"/>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93B"/>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1BC7"/>
    <w:rsid w:val="00293B4D"/>
    <w:rsid w:val="002A001F"/>
    <w:rsid w:val="002A4D5A"/>
    <w:rsid w:val="002A627D"/>
    <w:rsid w:val="002B3D2F"/>
    <w:rsid w:val="002B4E5C"/>
    <w:rsid w:val="002B7516"/>
    <w:rsid w:val="002C1363"/>
    <w:rsid w:val="002C15D0"/>
    <w:rsid w:val="002C3929"/>
    <w:rsid w:val="002C4F4D"/>
    <w:rsid w:val="002C7580"/>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29D8"/>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6B6D"/>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2F3"/>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1D05"/>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97BCB"/>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3926"/>
    <w:rsid w:val="00936933"/>
    <w:rsid w:val="00937624"/>
    <w:rsid w:val="00940BF5"/>
    <w:rsid w:val="00941239"/>
    <w:rsid w:val="00942EF9"/>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59F5"/>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2735"/>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0914"/>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055C"/>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15E"/>
    <w:rsid w:val="00D246B3"/>
    <w:rsid w:val="00D24CE1"/>
    <w:rsid w:val="00D254C8"/>
    <w:rsid w:val="00D275EE"/>
    <w:rsid w:val="00D30CD8"/>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453C"/>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0728"/>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6212D"/>
    <w:rsid w:val="00F65B63"/>
    <w:rsid w:val="00F704E0"/>
    <w:rsid w:val="00F70978"/>
    <w:rsid w:val="00F71610"/>
    <w:rsid w:val="00F7392C"/>
    <w:rsid w:val="00F81A27"/>
    <w:rsid w:val="00F83239"/>
    <w:rsid w:val="00F83260"/>
    <w:rsid w:val="00F90414"/>
    <w:rsid w:val="00F937DF"/>
    <w:rsid w:val="00F9693C"/>
    <w:rsid w:val="00FA4A38"/>
    <w:rsid w:val="00FA5582"/>
    <w:rsid w:val="00FA7E56"/>
    <w:rsid w:val="00FB02E6"/>
    <w:rsid w:val="00FB0C58"/>
    <w:rsid w:val="00FB2301"/>
    <w:rsid w:val="00FB271C"/>
    <w:rsid w:val="00FB66EE"/>
    <w:rsid w:val="00FB7AC2"/>
    <w:rsid w:val="00FC1824"/>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897BCB"/>
    <w:pPr>
      <w:keepNext/>
      <w:keepLines/>
      <w:spacing w:before="240" w:line="240" w:lineRule="auto"/>
      <w:outlineLvl w:val="1"/>
    </w:pPr>
    <w:rPr>
      <w:rFonts w:ascii="Montserrat" w:eastAsiaTheme="majorEastAsia" w:hAnsi="Montserrat" w:cstheme="majorBidi"/>
      <w:b/>
      <w:bCs/>
      <w:sz w:val="28"/>
      <w:szCs w:val="26"/>
      <w:lang w:eastAsia="en-AU"/>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897BCB"/>
    <w:rPr>
      <w:rFonts w:ascii="Montserrat" w:eastAsiaTheme="majorEastAsia" w:hAnsi="Montserrat" w:cstheme="majorBidi"/>
      <w:b/>
      <w:bCs/>
      <w:sz w:val="28"/>
      <w:szCs w:val="26"/>
      <w:lang w:val="en-AU" w:eastAsia="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9</cp:revision>
  <cp:lastPrinted>2018-08-29T18:35:00Z</cp:lastPrinted>
  <dcterms:created xsi:type="dcterms:W3CDTF">2025-08-19T01:01:00Z</dcterms:created>
  <dcterms:modified xsi:type="dcterms:W3CDTF">2025-08-19T01:05:00Z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