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83F695A" w:rsidR="008F2A8A" w:rsidRPr="00A853BB"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A853BB">
            <w:rPr>
              <w:rFonts w:ascii="Arial" w:hAnsi="Arial" w:cs="Arial"/>
              <w:noProof/>
              <w:color w:val="2F5897" w:themeColor="text2"/>
              <w:sz w:val="96"/>
              <w:lang w:eastAsia="en-AU"/>
              <w14:ligatures w14:val="none"/>
              <w14:cntxtAlts w14:val="0"/>
            </w:rPr>
            <w:drawing>
              <wp:anchor distT="0" distB="0" distL="114300" distR="114300" simplePos="0" relativeHeight="251658240"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A853BB"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355886C4" w14:textId="77777777" w:rsidR="00575528" w:rsidRPr="00A853BB" w:rsidRDefault="00575528" w:rsidP="008F2A8A">
          <w:pPr>
            <w:pStyle w:val="Title"/>
            <w:rPr>
              <w:rFonts w:ascii="Arial" w:hAnsi="Arial" w:cs="Arial"/>
              <w:color w:val="002060"/>
            </w:rPr>
          </w:pPr>
        </w:p>
        <w:p w14:paraId="76475749" w14:textId="77777777" w:rsidR="00575528" w:rsidRPr="00A853BB" w:rsidRDefault="00575528" w:rsidP="008F2A8A">
          <w:pPr>
            <w:pStyle w:val="Title"/>
            <w:rPr>
              <w:rFonts w:ascii="Arial" w:hAnsi="Arial" w:cs="Arial"/>
              <w:color w:val="002060"/>
            </w:rPr>
          </w:pPr>
        </w:p>
        <w:p w14:paraId="19FD366E" w14:textId="2361AE8D" w:rsidR="004214F0" w:rsidRPr="00A853BB" w:rsidRDefault="00184295" w:rsidP="008F2A8A">
          <w:pPr>
            <w:pStyle w:val="Title"/>
            <w:rPr>
              <w:rFonts w:ascii="Arial" w:hAnsi="Arial" w:cs="Arial"/>
              <w:color w:val="002060"/>
            </w:rPr>
          </w:pPr>
          <w:r w:rsidRPr="00A853BB">
            <w:rPr>
              <w:rFonts w:ascii="Arial" w:hAnsi="Arial" w:cs="Arial"/>
              <w:color w:val="002060"/>
            </w:rPr>
            <w:t>Probation</w:t>
          </w:r>
          <w:r w:rsidRPr="00A853BB">
            <w:rPr>
              <w:rFonts w:ascii="Arial" w:hAnsi="Arial" w:cs="Arial"/>
              <w:color w:val="002060"/>
            </w:rPr>
            <w:t xml:space="preserve"> </w:t>
          </w:r>
          <w:r w:rsidR="00485354" w:rsidRPr="00A853BB">
            <w:rPr>
              <w:rFonts w:ascii="Arial" w:hAnsi="Arial" w:cs="Arial"/>
              <w:color w:val="002060"/>
            </w:rPr>
            <w:t>Policy</w:t>
          </w:r>
          <w:r w:rsidR="003F396D" w:rsidRPr="00A853BB">
            <w:rPr>
              <w:rFonts w:ascii="Arial" w:hAnsi="Arial" w:cs="Arial"/>
              <w:color w:val="002060"/>
            </w:rPr>
            <w:t xml:space="preserve"> </w:t>
          </w:r>
        </w:p>
        <w:p w14:paraId="221DD947" w14:textId="77777777" w:rsidR="00B91A11" w:rsidRPr="00A853BB" w:rsidRDefault="00B91A11" w:rsidP="0040042E">
          <w:pPr>
            <w:pStyle w:val="Heading3"/>
            <w:rPr>
              <w:rFonts w:ascii="Arial" w:hAnsi="Arial" w:cs="Arial"/>
            </w:rPr>
          </w:pPr>
          <w:r w:rsidRPr="00A853BB">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A853BB" w14:paraId="65AB3EE6" w14:textId="77777777" w:rsidTr="00D92E79">
            <w:trPr>
              <w:trHeight w:val="510"/>
              <w:jc w:val="center"/>
            </w:trPr>
            <w:tc>
              <w:tcPr>
                <w:tcW w:w="2376" w:type="dxa"/>
                <w:tcBorders>
                  <w:left w:val="single" w:sz="4" w:space="0" w:color="auto"/>
                </w:tcBorders>
                <w:vAlign w:val="center"/>
              </w:tcPr>
              <w:p w14:paraId="6E253EEC" w14:textId="77777777" w:rsidR="002D3ECD" w:rsidRPr="00A853BB" w:rsidRDefault="002D3ECD" w:rsidP="009A6DC9">
                <w:pPr>
                  <w:pStyle w:val="TableHeading"/>
                  <w:rPr>
                    <w:rFonts w:ascii="Arial" w:hAnsi="Arial" w:cs="Arial"/>
                  </w:rPr>
                </w:pPr>
                <w:r w:rsidRPr="00A853BB">
                  <w:rPr>
                    <w:rFonts w:ascii="Arial" w:hAnsi="Arial" w:cs="Arial"/>
                  </w:rPr>
                  <w:t>Policy Title:</w:t>
                </w:r>
              </w:p>
            </w:tc>
            <w:tc>
              <w:tcPr>
                <w:tcW w:w="7465" w:type="dxa"/>
                <w:gridSpan w:val="3"/>
                <w:tcBorders>
                  <w:right w:val="single" w:sz="4" w:space="0" w:color="auto"/>
                </w:tcBorders>
                <w:vAlign w:val="center"/>
              </w:tcPr>
              <w:p w14:paraId="25EBE48A" w14:textId="77777777" w:rsidR="002D3ECD" w:rsidRPr="00A853BB" w:rsidRDefault="002D3ECD" w:rsidP="00F010A3">
                <w:pPr>
                  <w:pStyle w:val="TableText"/>
                  <w:rPr>
                    <w:rFonts w:ascii="Arial" w:hAnsi="Arial" w:cs="Arial"/>
                  </w:rPr>
                </w:pPr>
              </w:p>
            </w:tc>
          </w:tr>
          <w:tr w:rsidR="00214AAE" w:rsidRPr="00A853BB" w14:paraId="2CF200DE" w14:textId="77777777" w:rsidTr="00D92E79">
            <w:trPr>
              <w:trHeight w:val="510"/>
              <w:jc w:val="center"/>
            </w:trPr>
            <w:tc>
              <w:tcPr>
                <w:tcW w:w="2376" w:type="dxa"/>
                <w:tcBorders>
                  <w:left w:val="single" w:sz="4" w:space="0" w:color="auto"/>
                </w:tcBorders>
                <w:vAlign w:val="center"/>
              </w:tcPr>
              <w:p w14:paraId="7598E34E" w14:textId="77777777" w:rsidR="00214AAE" w:rsidRPr="00A853BB" w:rsidRDefault="00214AAE" w:rsidP="009A6DC9">
                <w:pPr>
                  <w:pStyle w:val="TableHeading"/>
                  <w:rPr>
                    <w:rFonts w:ascii="Arial" w:hAnsi="Arial" w:cs="Arial"/>
                  </w:rPr>
                </w:pPr>
                <w:r w:rsidRPr="00A853BB">
                  <w:rPr>
                    <w:rFonts w:ascii="Arial" w:hAnsi="Arial" w:cs="Arial"/>
                  </w:rPr>
                  <w:t>Version Number:</w:t>
                </w:r>
              </w:p>
            </w:tc>
            <w:tc>
              <w:tcPr>
                <w:tcW w:w="7465" w:type="dxa"/>
                <w:gridSpan w:val="3"/>
                <w:tcBorders>
                  <w:right w:val="single" w:sz="4" w:space="0" w:color="auto"/>
                </w:tcBorders>
                <w:vAlign w:val="center"/>
              </w:tcPr>
              <w:p w14:paraId="05551ACE" w14:textId="77777777" w:rsidR="00214AAE" w:rsidRPr="00A853BB" w:rsidRDefault="00214AAE" w:rsidP="00F010A3">
                <w:pPr>
                  <w:pStyle w:val="TableText"/>
                  <w:rPr>
                    <w:rFonts w:ascii="Arial" w:hAnsi="Arial" w:cs="Arial"/>
                  </w:rPr>
                </w:pPr>
              </w:p>
            </w:tc>
          </w:tr>
          <w:tr w:rsidR="00B91A11" w:rsidRPr="00A853BB" w14:paraId="7094AD5F" w14:textId="77777777" w:rsidTr="00D92E79">
            <w:trPr>
              <w:trHeight w:val="510"/>
              <w:jc w:val="center"/>
            </w:trPr>
            <w:tc>
              <w:tcPr>
                <w:tcW w:w="2376" w:type="dxa"/>
                <w:tcBorders>
                  <w:left w:val="single" w:sz="4" w:space="0" w:color="auto"/>
                </w:tcBorders>
                <w:vAlign w:val="center"/>
              </w:tcPr>
              <w:p w14:paraId="5B1808AF" w14:textId="77777777" w:rsidR="002D3ECD" w:rsidRPr="00A853BB" w:rsidRDefault="002D3ECD" w:rsidP="009A6DC9">
                <w:pPr>
                  <w:pStyle w:val="TableHeading"/>
                  <w:rPr>
                    <w:rFonts w:ascii="Arial" w:hAnsi="Arial" w:cs="Arial"/>
                  </w:rPr>
                </w:pPr>
                <w:r w:rsidRPr="00A853BB">
                  <w:rPr>
                    <w:rFonts w:ascii="Arial" w:hAnsi="Arial" w:cs="Arial"/>
                  </w:rPr>
                  <w:t>Date Ratified:</w:t>
                </w:r>
              </w:p>
            </w:tc>
            <w:tc>
              <w:tcPr>
                <w:tcW w:w="2485" w:type="dxa"/>
                <w:vAlign w:val="center"/>
              </w:tcPr>
              <w:p w14:paraId="4411F8B7" w14:textId="77777777" w:rsidR="002D3ECD" w:rsidRPr="00A853BB" w:rsidRDefault="002D3ECD" w:rsidP="00814BC7">
                <w:pPr>
                  <w:pStyle w:val="TableText"/>
                  <w:rPr>
                    <w:rFonts w:ascii="Arial" w:hAnsi="Arial" w:cs="Arial"/>
                  </w:rPr>
                </w:pPr>
              </w:p>
            </w:tc>
            <w:tc>
              <w:tcPr>
                <w:tcW w:w="2495" w:type="dxa"/>
                <w:vAlign w:val="center"/>
              </w:tcPr>
              <w:p w14:paraId="007F67D7" w14:textId="77777777" w:rsidR="002D3ECD" w:rsidRPr="00A853BB" w:rsidRDefault="002D3ECD" w:rsidP="00F010A3">
                <w:pPr>
                  <w:pStyle w:val="TableHeading"/>
                  <w:rPr>
                    <w:rFonts w:ascii="Arial" w:hAnsi="Arial" w:cs="Arial"/>
                  </w:rPr>
                </w:pPr>
                <w:r w:rsidRPr="00A853BB">
                  <w:rPr>
                    <w:rFonts w:ascii="Arial" w:hAnsi="Arial" w:cs="Arial"/>
                  </w:rPr>
                  <w:t>Review Date:</w:t>
                </w:r>
              </w:p>
            </w:tc>
            <w:tc>
              <w:tcPr>
                <w:tcW w:w="2485" w:type="dxa"/>
                <w:tcBorders>
                  <w:right w:val="single" w:sz="4" w:space="0" w:color="auto"/>
                </w:tcBorders>
                <w:vAlign w:val="center"/>
              </w:tcPr>
              <w:p w14:paraId="32BF510A" w14:textId="77777777" w:rsidR="002D3ECD" w:rsidRPr="00A853BB" w:rsidRDefault="002D3ECD" w:rsidP="00F010A3">
                <w:pPr>
                  <w:pStyle w:val="TableText"/>
                  <w:rPr>
                    <w:rFonts w:ascii="Arial" w:hAnsi="Arial" w:cs="Arial"/>
                  </w:rPr>
                </w:pPr>
              </w:p>
            </w:tc>
          </w:tr>
        </w:tbl>
        <w:p w14:paraId="29F1FA7E" w14:textId="77777777" w:rsidR="00667DC6" w:rsidRPr="00A853BB" w:rsidRDefault="00667DC6">
          <w:pPr>
            <w:spacing w:after="200" w:line="276" w:lineRule="auto"/>
            <w:rPr>
              <w:rFonts w:ascii="Arial" w:hAnsi="Arial" w:cs="Arial"/>
              <w:i/>
              <w:iCs/>
              <w:color w:val="0070C0"/>
              <w:lang w:eastAsia="en-AU"/>
            </w:rPr>
          </w:pPr>
          <w:bookmarkStart w:id="0" w:name="_Toc523148719"/>
        </w:p>
        <w:p w14:paraId="697FFEB4" w14:textId="77777777" w:rsidR="00A853BB" w:rsidRPr="00A853BB" w:rsidRDefault="00A853BB" w:rsidP="00A853BB">
          <w:pPr>
            <w:pStyle w:val="Guidance"/>
            <w:rPr>
              <w:rFonts w:cs="Arial"/>
              <w:i/>
              <w:iCs/>
              <w:color w:val="0070C0"/>
            </w:rPr>
          </w:pPr>
          <w:r w:rsidRPr="00A853BB">
            <w:rPr>
              <w:rFonts w:cs="Arial"/>
              <w:i/>
              <w:iCs/>
              <w:color w:val="0070C0"/>
            </w:rPr>
            <w:t xml:space="preserve">Guidance: Probation periods can vary. Check the relevant award or workplace agreement for guidance. The Fair Work Act 2009 provides for a minimum qualifying period of six months in businesses of 15 employees and over or 12 months for small businesses under 15 employees (based on headcount, excluding irregular casuals), before an employee is protected from unfair dismissal provisions. </w:t>
          </w:r>
        </w:p>
        <w:p w14:paraId="6E5B34F3" w14:textId="77777777" w:rsidR="00A853BB" w:rsidRPr="00A853BB" w:rsidRDefault="00A853BB" w:rsidP="00A853BB">
          <w:pPr>
            <w:pStyle w:val="Heading2"/>
            <w:rPr>
              <w:rFonts w:ascii="Arial" w:hAnsi="Arial" w:cs="Arial"/>
            </w:rPr>
          </w:pPr>
          <w:r w:rsidRPr="00A853BB">
            <w:rPr>
              <w:rFonts w:ascii="Arial" w:hAnsi="Arial" w:cs="Arial"/>
            </w:rPr>
            <w:t>Policy</w:t>
          </w:r>
        </w:p>
        <w:p w14:paraId="3C0B4E41" w14:textId="660CA16F" w:rsidR="00A853BB" w:rsidRPr="00A853BB" w:rsidRDefault="00A853BB" w:rsidP="00A853BB">
          <w:pPr>
            <w:rPr>
              <w:rFonts w:ascii="Arial" w:hAnsi="Arial" w:cs="Arial"/>
            </w:rPr>
          </w:pPr>
          <w:r w:rsidRPr="00A853BB">
            <w:rPr>
              <w:rFonts w:ascii="Arial" w:hAnsi="Arial" w:cs="Arial"/>
            </w:rPr>
            <w:t>The {3/6} month probationary period is a time for both the employee and the business to assess suitability, fit and competency within a role. During this period the {</w:t>
          </w:r>
          <w:r>
            <w:rPr>
              <w:rFonts w:ascii="Arial" w:hAnsi="Arial" w:cs="Arial"/>
            </w:rPr>
            <w:t>Neighbourhood House</w:t>
          </w:r>
          <w:r w:rsidRPr="00A853BB">
            <w:rPr>
              <w:rFonts w:ascii="Arial" w:hAnsi="Arial" w:cs="Arial"/>
            </w:rPr>
            <w:t>} commits to reviewing employee performance and at the end of this time ongoing permanent employment will be confirmed.</w:t>
          </w:r>
        </w:p>
        <w:p w14:paraId="18C5F6BF" w14:textId="77777777" w:rsidR="00A853BB" w:rsidRPr="00A853BB" w:rsidRDefault="00A853BB" w:rsidP="00A853BB">
          <w:pPr>
            <w:pStyle w:val="Heading2"/>
            <w:rPr>
              <w:rFonts w:ascii="Arial" w:hAnsi="Arial" w:cs="Arial"/>
            </w:rPr>
          </w:pPr>
          <w:r w:rsidRPr="00A853BB">
            <w:rPr>
              <w:rFonts w:ascii="Arial" w:hAnsi="Arial" w:cs="Arial"/>
            </w:rPr>
            <w:t>Procedure</w:t>
          </w:r>
        </w:p>
        <w:p w14:paraId="7D97BCC6" w14:textId="77777777" w:rsidR="00A853BB" w:rsidRPr="00A853BB" w:rsidRDefault="00A853BB" w:rsidP="00A853BB">
          <w:pPr>
            <w:numPr>
              <w:ilvl w:val="0"/>
              <w:numId w:val="39"/>
            </w:numPr>
            <w:spacing w:before="120" w:after="0" w:line="360" w:lineRule="auto"/>
            <w:rPr>
              <w:rFonts w:ascii="Arial" w:hAnsi="Arial" w:cs="Arial"/>
            </w:rPr>
          </w:pPr>
          <w:r w:rsidRPr="00A853BB">
            <w:rPr>
              <w:rFonts w:ascii="Arial" w:hAnsi="Arial" w:cs="Arial"/>
            </w:rPr>
            <w:t>Use system to track and monitor probationary periods</w:t>
          </w:r>
        </w:p>
        <w:p w14:paraId="4131EB65" w14:textId="77777777" w:rsidR="00A853BB" w:rsidRPr="00A853BB" w:rsidRDefault="00A853BB" w:rsidP="00A853BB">
          <w:pPr>
            <w:numPr>
              <w:ilvl w:val="0"/>
              <w:numId w:val="39"/>
            </w:numPr>
            <w:spacing w:before="120" w:after="0" w:line="360" w:lineRule="auto"/>
            <w:rPr>
              <w:rFonts w:ascii="Arial" w:hAnsi="Arial" w:cs="Arial"/>
            </w:rPr>
          </w:pPr>
          <w:r w:rsidRPr="00A853BB">
            <w:rPr>
              <w:rFonts w:ascii="Arial" w:hAnsi="Arial" w:cs="Arial"/>
            </w:rPr>
            <w:t xml:space="preserve">Managers to give informal and formal appraisal during the probation period. </w:t>
          </w:r>
        </w:p>
        <w:p w14:paraId="33205816" w14:textId="77777777" w:rsidR="00A853BB" w:rsidRPr="00A853BB" w:rsidRDefault="00A853BB" w:rsidP="00A853BB">
          <w:pPr>
            <w:numPr>
              <w:ilvl w:val="0"/>
              <w:numId w:val="39"/>
            </w:numPr>
            <w:spacing w:before="120" w:after="0" w:line="360" w:lineRule="auto"/>
            <w:rPr>
              <w:rFonts w:ascii="Arial" w:hAnsi="Arial" w:cs="Arial"/>
            </w:rPr>
          </w:pPr>
          <w:r w:rsidRPr="00A853BB">
            <w:rPr>
              <w:rFonts w:ascii="Arial" w:hAnsi="Arial" w:cs="Arial"/>
            </w:rPr>
            <w:t>Give at least one formal appraisal four weeks before the end of probation.</w:t>
          </w:r>
        </w:p>
        <w:p w14:paraId="1CEB1F3D" w14:textId="4C7BE6C4" w:rsidR="00C65E60" w:rsidRPr="00A853BB" w:rsidRDefault="00A853BB" w:rsidP="00A853BB">
          <w:pPr>
            <w:numPr>
              <w:ilvl w:val="0"/>
              <w:numId w:val="39"/>
            </w:numPr>
            <w:spacing w:before="120" w:after="0" w:line="360" w:lineRule="auto"/>
            <w:rPr>
              <w:rFonts w:ascii="Arial" w:hAnsi="Arial" w:cs="Arial"/>
            </w:rPr>
          </w:pPr>
          <w:r w:rsidRPr="00A853BB">
            <w:rPr>
              <w:rFonts w:ascii="Arial" w:hAnsi="Arial" w:cs="Arial"/>
            </w:rPr>
            <w:t>At the end of the probation period, complete a final probation appraisal and advise the employee of the result via a formal written letter.</w:t>
          </w:r>
        </w:p>
        <w:p w14:paraId="031A2821" w14:textId="77777777" w:rsidR="00664E92" w:rsidRPr="008F2A8A" w:rsidRDefault="00A853BB" w:rsidP="00C65E60">
          <w:pPr>
            <w:rPr>
              <w:rFonts w:ascii="Arial" w:hAnsi="Arial" w:cs="Arial"/>
              <w:szCs w:val="24"/>
              <w:lang w:eastAsia="en-AU"/>
            </w:rPr>
          </w:pPr>
        </w:p>
      </w:sdtContent>
    </w:sdt>
    <w:bookmarkEnd w:id="0" w:displacedByCustomXml="prev"/>
    <w:sectPr w:rsidR="00664E92" w:rsidRPr="008F2A8A"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5341" w14:textId="77777777" w:rsidR="008F2A8A" w:rsidRDefault="008F2A8A">
      <w:pPr>
        <w:spacing w:after="0" w:line="240" w:lineRule="auto"/>
      </w:pPr>
      <w:r>
        <w:separator/>
      </w:r>
    </w:p>
  </w:endnote>
  <w:endnote w:type="continuationSeparator" w:id="0">
    <w:p w14:paraId="3B1856F4" w14:textId="77777777" w:rsidR="008F2A8A" w:rsidRDefault="008F2A8A">
      <w:pPr>
        <w:spacing w:after="0" w:line="240" w:lineRule="auto"/>
      </w:pPr>
      <w:r>
        <w:continuationSeparator/>
      </w:r>
    </w:p>
  </w:endnote>
  <w:endnote w:type="continuationNotice" w:id="1">
    <w:p w14:paraId="56408CB2" w14:textId="77777777" w:rsidR="008F2A8A" w:rsidRDefault="008F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DDC94"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1228  |  info@nhvic.org.au  |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449" w14:textId="77777777" w:rsidR="008F2A8A" w:rsidRDefault="008F2A8A">
      <w:pPr>
        <w:spacing w:after="0" w:line="240" w:lineRule="auto"/>
      </w:pPr>
      <w:r>
        <w:separator/>
      </w:r>
    </w:p>
  </w:footnote>
  <w:footnote w:type="continuationSeparator" w:id="0">
    <w:p w14:paraId="0C385981" w14:textId="77777777" w:rsidR="008F2A8A" w:rsidRDefault="008F2A8A">
      <w:pPr>
        <w:spacing w:after="0" w:line="240" w:lineRule="auto"/>
      </w:pPr>
      <w:r>
        <w:continuationSeparator/>
      </w:r>
    </w:p>
  </w:footnote>
  <w:footnote w:type="continuationNotice" w:id="1">
    <w:p w14:paraId="4FB48637" w14:textId="77777777" w:rsidR="008F2A8A" w:rsidRDefault="008F2A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4"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840A05"/>
    <w:multiLevelType w:val="hybridMultilevel"/>
    <w:tmpl w:val="375E5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9752385">
    <w:abstractNumId w:val="28"/>
  </w:num>
  <w:num w:numId="2" w16cid:durableId="1289891999">
    <w:abstractNumId w:val="36"/>
  </w:num>
  <w:num w:numId="3" w16cid:durableId="429158705">
    <w:abstractNumId w:val="16"/>
  </w:num>
  <w:num w:numId="4" w16cid:durableId="2436412">
    <w:abstractNumId w:val="34"/>
  </w:num>
  <w:num w:numId="5" w16cid:durableId="101657128">
    <w:abstractNumId w:val="20"/>
  </w:num>
  <w:num w:numId="6" w16cid:durableId="1352761200">
    <w:abstractNumId w:val="25"/>
  </w:num>
  <w:num w:numId="7" w16cid:durableId="573051233">
    <w:abstractNumId w:val="27"/>
  </w:num>
  <w:num w:numId="8" w16cid:durableId="1065907104">
    <w:abstractNumId w:val="10"/>
  </w:num>
  <w:num w:numId="9" w16cid:durableId="436103600">
    <w:abstractNumId w:val="11"/>
  </w:num>
  <w:num w:numId="10" w16cid:durableId="1380089831">
    <w:abstractNumId w:val="26"/>
  </w:num>
  <w:num w:numId="11" w16cid:durableId="1635714488">
    <w:abstractNumId w:val="21"/>
  </w:num>
  <w:num w:numId="12" w16cid:durableId="1747335005">
    <w:abstractNumId w:val="14"/>
  </w:num>
  <w:num w:numId="13" w16cid:durableId="1962764370">
    <w:abstractNumId w:val="33"/>
  </w:num>
  <w:num w:numId="14" w16cid:durableId="1152599744">
    <w:abstractNumId w:val="22"/>
  </w:num>
  <w:num w:numId="15" w16cid:durableId="469636154">
    <w:abstractNumId w:val="12"/>
  </w:num>
  <w:num w:numId="16" w16cid:durableId="2078474977">
    <w:abstractNumId w:val="19"/>
  </w:num>
  <w:num w:numId="17" w16cid:durableId="2076539615">
    <w:abstractNumId w:val="17"/>
  </w:num>
  <w:num w:numId="18" w16cid:durableId="1440687542">
    <w:abstractNumId w:val="32"/>
  </w:num>
  <w:num w:numId="19" w16cid:durableId="769013481">
    <w:abstractNumId w:val="35"/>
  </w:num>
  <w:num w:numId="20" w16cid:durableId="173350738">
    <w:abstractNumId w:val="15"/>
  </w:num>
  <w:num w:numId="21" w16cid:durableId="1771318243">
    <w:abstractNumId w:val="13"/>
  </w:num>
  <w:num w:numId="22" w16cid:durableId="446970280">
    <w:abstractNumId w:val="37"/>
  </w:num>
  <w:num w:numId="23" w16cid:durableId="1207714435">
    <w:abstractNumId w:val="29"/>
  </w:num>
  <w:num w:numId="24" w16cid:durableId="1091394890">
    <w:abstractNumId w:val="38"/>
  </w:num>
  <w:num w:numId="25" w16cid:durableId="688141410">
    <w:abstractNumId w:val="30"/>
  </w:num>
  <w:num w:numId="26" w16cid:durableId="453332495">
    <w:abstractNumId w:val="18"/>
  </w:num>
  <w:num w:numId="27" w16cid:durableId="287246049">
    <w:abstractNumId w:val="31"/>
  </w:num>
  <w:num w:numId="28" w16cid:durableId="1185943168">
    <w:abstractNumId w:val="24"/>
  </w:num>
  <w:num w:numId="29" w16cid:durableId="2009282893">
    <w:abstractNumId w:val="9"/>
  </w:num>
  <w:num w:numId="30" w16cid:durableId="981077712">
    <w:abstractNumId w:val="7"/>
  </w:num>
  <w:num w:numId="31" w16cid:durableId="1045064737">
    <w:abstractNumId w:val="6"/>
  </w:num>
  <w:num w:numId="32" w16cid:durableId="295260642">
    <w:abstractNumId w:val="5"/>
  </w:num>
  <w:num w:numId="33" w16cid:durableId="49689601">
    <w:abstractNumId w:val="4"/>
  </w:num>
  <w:num w:numId="34" w16cid:durableId="1409158140">
    <w:abstractNumId w:val="8"/>
  </w:num>
  <w:num w:numId="35" w16cid:durableId="738094402">
    <w:abstractNumId w:val="3"/>
  </w:num>
  <w:num w:numId="36" w16cid:durableId="2111505245">
    <w:abstractNumId w:val="2"/>
  </w:num>
  <w:num w:numId="37" w16cid:durableId="2132624400">
    <w:abstractNumId w:val="1"/>
  </w:num>
  <w:num w:numId="38" w16cid:durableId="638847648">
    <w:abstractNumId w:val="0"/>
  </w:num>
  <w:num w:numId="39" w16cid:durableId="4995828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2304"/>
    <w:rsid w:val="00176547"/>
    <w:rsid w:val="0018047C"/>
    <w:rsid w:val="001805DC"/>
    <w:rsid w:val="001814AD"/>
    <w:rsid w:val="00182E1F"/>
    <w:rsid w:val="00184295"/>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28"/>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67DC6"/>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4C9F"/>
    <w:rsid w:val="00945E3C"/>
    <w:rsid w:val="00946316"/>
    <w:rsid w:val="0095108C"/>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853BB"/>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A853BB"/>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F3029479-C75F-4099-94F2-02E02CF13D48}">
  <ds:schemaRefs>
    <ds:schemaRef ds:uri="http://purl.org/dc/elements/1.1/"/>
    <ds:schemaRef ds:uri="http://schemas.microsoft.com/office/2006/metadata/properties"/>
    <ds:schemaRef ds:uri="6855be08-b5d3-4f13-b158-bf089314da1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83f366c-05fb-4be4-9334-79ee91b37a6e"/>
    <ds:schemaRef ds:uri="2b102171-2659-46a1-9f74-81a4bcf42816"/>
    <ds:schemaRef ds:uri="http://www.w3.org/XML/1998/namespace"/>
    <ds:schemaRef ds:uri="http://purl.org/dc/dcmitype/"/>
  </ds:schemaRefs>
</ds:datastoreItem>
</file>

<file path=customXml/itemProps3.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4.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5.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3</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6</cp:revision>
  <cp:lastPrinted>2018-08-29T18:35:00Z</cp:lastPrinted>
  <dcterms:created xsi:type="dcterms:W3CDTF">2025-06-12T04:23:00Z</dcterms:created>
  <dcterms:modified xsi:type="dcterms:W3CDTF">2025-06-12T04:25:00Z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