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auto"/>
          <w:sz w:val="24"/>
          <w:szCs w:val="22"/>
        </w:rPr>
      </w:sdtEndPr>
      <w:sdtContent>
        <w:p w14:paraId="7C06A629" w14:textId="1B829531" w:rsidR="008F2A8A" w:rsidRPr="005A6ADD"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sidRPr="005A6ADD">
            <w:rPr>
              <w:rFonts w:ascii="Arial" w:hAnsi="Arial" w:cs="Arial"/>
              <w:noProof/>
              <w:color w:val="2F5897" w:themeColor="text2"/>
              <w:sz w:val="96"/>
              <w:lang w:eastAsia="en-AU"/>
              <w14:ligatures w14:val="none"/>
              <w14:cntxtAlts w14:val="0"/>
            </w:rPr>
            <w:drawing>
              <wp:anchor distT="0" distB="0" distL="114300" distR="114300" simplePos="0" relativeHeight="251658240"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Pr="005A6ADD"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Pr="005A6ADD" w:rsidRDefault="00951E43" w:rsidP="008F2A8A">
          <w:pPr>
            <w:pStyle w:val="Title"/>
            <w:rPr>
              <w:rFonts w:ascii="Arial" w:hAnsi="Arial" w:cs="Arial"/>
              <w:color w:val="002060"/>
            </w:rPr>
          </w:pPr>
        </w:p>
        <w:p w14:paraId="3C34E0DF" w14:textId="77777777" w:rsidR="00E24F89" w:rsidRPr="005A6ADD" w:rsidRDefault="00E24F89" w:rsidP="008F2A8A">
          <w:pPr>
            <w:pStyle w:val="Title"/>
            <w:rPr>
              <w:rFonts w:ascii="Arial" w:hAnsi="Arial" w:cs="Arial"/>
              <w:color w:val="002060"/>
            </w:rPr>
          </w:pPr>
        </w:p>
        <w:p w14:paraId="19FD366E" w14:textId="2A4AD4DB" w:rsidR="004214F0" w:rsidRPr="005A6ADD" w:rsidRDefault="00FD2812" w:rsidP="008F2A8A">
          <w:pPr>
            <w:pStyle w:val="Title"/>
            <w:rPr>
              <w:rFonts w:ascii="Arial" w:hAnsi="Arial" w:cs="Arial"/>
              <w:color w:val="002060"/>
            </w:rPr>
          </w:pPr>
          <w:r w:rsidRPr="005A6ADD">
            <w:rPr>
              <w:rFonts w:ascii="Arial" w:hAnsi="Arial" w:cs="Arial"/>
              <w:color w:val="002060"/>
            </w:rPr>
            <w:t>Occupational Health and Safety</w:t>
          </w:r>
          <w:r w:rsidRPr="005A6ADD">
            <w:rPr>
              <w:rFonts w:ascii="Arial" w:hAnsi="Arial" w:cs="Arial"/>
              <w:color w:val="002060"/>
            </w:rPr>
            <w:t xml:space="preserve"> </w:t>
          </w:r>
          <w:r w:rsidR="00485354" w:rsidRPr="005A6ADD">
            <w:rPr>
              <w:rFonts w:ascii="Arial" w:hAnsi="Arial" w:cs="Arial"/>
              <w:color w:val="002060"/>
            </w:rPr>
            <w:t>Policy</w:t>
          </w:r>
          <w:r w:rsidR="003F396D" w:rsidRPr="005A6ADD">
            <w:rPr>
              <w:rFonts w:ascii="Arial" w:hAnsi="Arial" w:cs="Arial"/>
              <w:color w:val="002060"/>
            </w:rPr>
            <w:t xml:space="preserve"> </w:t>
          </w:r>
        </w:p>
        <w:p w14:paraId="501CFEB3" w14:textId="77777777" w:rsidR="00951E43" w:rsidRPr="005A6ADD" w:rsidRDefault="00951E43" w:rsidP="0040042E">
          <w:pPr>
            <w:pStyle w:val="Heading3"/>
            <w:rPr>
              <w:rFonts w:ascii="Arial" w:hAnsi="Arial" w:cs="Arial"/>
            </w:rPr>
          </w:pPr>
        </w:p>
        <w:p w14:paraId="221DD947" w14:textId="7B06D4C2" w:rsidR="00B91A11" w:rsidRPr="005A6ADD" w:rsidRDefault="00B91A11" w:rsidP="0040042E">
          <w:pPr>
            <w:pStyle w:val="Heading3"/>
            <w:rPr>
              <w:rFonts w:ascii="Arial" w:hAnsi="Arial" w:cs="Arial"/>
            </w:rPr>
          </w:pPr>
          <w:r w:rsidRPr="005A6ADD">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8"/>
            <w:gridCol w:w="2455"/>
            <w:gridCol w:w="2475"/>
            <w:gridCol w:w="2455"/>
          </w:tblGrid>
          <w:tr w:rsidR="00B91A11" w:rsidRPr="005A6ADD" w14:paraId="65AB3EE6" w14:textId="77777777" w:rsidTr="005A6ADD">
            <w:trPr>
              <w:trHeight w:val="510"/>
              <w:jc w:val="center"/>
            </w:trPr>
            <w:tc>
              <w:tcPr>
                <w:tcW w:w="2358" w:type="dxa"/>
                <w:tcBorders>
                  <w:left w:val="single" w:sz="4" w:space="0" w:color="auto"/>
                </w:tcBorders>
                <w:vAlign w:val="center"/>
              </w:tcPr>
              <w:p w14:paraId="6E253EEC" w14:textId="77777777" w:rsidR="002D3ECD" w:rsidRPr="005A6ADD" w:rsidRDefault="002D3ECD" w:rsidP="009A6DC9">
                <w:pPr>
                  <w:pStyle w:val="TableHeading"/>
                  <w:rPr>
                    <w:rFonts w:ascii="Arial" w:hAnsi="Arial" w:cs="Arial"/>
                  </w:rPr>
                </w:pPr>
                <w:r w:rsidRPr="005A6ADD">
                  <w:rPr>
                    <w:rFonts w:ascii="Arial" w:hAnsi="Arial" w:cs="Arial"/>
                  </w:rPr>
                  <w:t>Policy Title:</w:t>
                </w:r>
              </w:p>
            </w:tc>
            <w:tc>
              <w:tcPr>
                <w:tcW w:w="7385" w:type="dxa"/>
                <w:gridSpan w:val="3"/>
                <w:tcBorders>
                  <w:right w:val="single" w:sz="4" w:space="0" w:color="auto"/>
                </w:tcBorders>
                <w:vAlign w:val="center"/>
              </w:tcPr>
              <w:p w14:paraId="25EBE48A" w14:textId="77777777" w:rsidR="002D3ECD" w:rsidRPr="005A6ADD" w:rsidRDefault="002D3ECD" w:rsidP="00F010A3">
                <w:pPr>
                  <w:pStyle w:val="TableText"/>
                  <w:rPr>
                    <w:rFonts w:ascii="Arial" w:hAnsi="Arial" w:cs="Arial"/>
                  </w:rPr>
                </w:pPr>
              </w:p>
            </w:tc>
          </w:tr>
          <w:tr w:rsidR="00214AAE" w:rsidRPr="005A6ADD" w14:paraId="2CF200DE" w14:textId="77777777" w:rsidTr="005A6ADD">
            <w:trPr>
              <w:trHeight w:val="510"/>
              <w:jc w:val="center"/>
            </w:trPr>
            <w:tc>
              <w:tcPr>
                <w:tcW w:w="2358" w:type="dxa"/>
                <w:tcBorders>
                  <w:left w:val="single" w:sz="4" w:space="0" w:color="auto"/>
                </w:tcBorders>
                <w:vAlign w:val="center"/>
              </w:tcPr>
              <w:p w14:paraId="7598E34E" w14:textId="77777777" w:rsidR="00214AAE" w:rsidRPr="005A6ADD" w:rsidRDefault="00214AAE" w:rsidP="009A6DC9">
                <w:pPr>
                  <w:pStyle w:val="TableHeading"/>
                  <w:rPr>
                    <w:rFonts w:ascii="Arial" w:hAnsi="Arial" w:cs="Arial"/>
                  </w:rPr>
                </w:pPr>
                <w:r w:rsidRPr="005A6ADD">
                  <w:rPr>
                    <w:rFonts w:ascii="Arial" w:hAnsi="Arial" w:cs="Arial"/>
                  </w:rPr>
                  <w:t>Version Number:</w:t>
                </w:r>
              </w:p>
            </w:tc>
            <w:tc>
              <w:tcPr>
                <w:tcW w:w="7385" w:type="dxa"/>
                <w:gridSpan w:val="3"/>
                <w:tcBorders>
                  <w:right w:val="single" w:sz="4" w:space="0" w:color="auto"/>
                </w:tcBorders>
                <w:vAlign w:val="center"/>
              </w:tcPr>
              <w:p w14:paraId="05551ACE" w14:textId="77777777" w:rsidR="00214AAE" w:rsidRPr="005A6ADD" w:rsidRDefault="00214AAE" w:rsidP="00F010A3">
                <w:pPr>
                  <w:pStyle w:val="TableText"/>
                  <w:rPr>
                    <w:rFonts w:ascii="Arial" w:hAnsi="Arial" w:cs="Arial"/>
                  </w:rPr>
                </w:pPr>
              </w:p>
            </w:tc>
          </w:tr>
          <w:tr w:rsidR="00B91A11" w:rsidRPr="005A6ADD" w14:paraId="7094AD5F" w14:textId="77777777" w:rsidTr="005A6ADD">
            <w:trPr>
              <w:trHeight w:val="510"/>
              <w:jc w:val="center"/>
            </w:trPr>
            <w:tc>
              <w:tcPr>
                <w:tcW w:w="2358" w:type="dxa"/>
                <w:tcBorders>
                  <w:left w:val="single" w:sz="4" w:space="0" w:color="auto"/>
                </w:tcBorders>
                <w:vAlign w:val="center"/>
              </w:tcPr>
              <w:p w14:paraId="5B1808AF" w14:textId="77777777" w:rsidR="002D3ECD" w:rsidRPr="005A6ADD" w:rsidRDefault="002D3ECD" w:rsidP="009A6DC9">
                <w:pPr>
                  <w:pStyle w:val="TableHeading"/>
                  <w:rPr>
                    <w:rFonts w:ascii="Arial" w:hAnsi="Arial" w:cs="Arial"/>
                  </w:rPr>
                </w:pPr>
                <w:r w:rsidRPr="005A6ADD">
                  <w:rPr>
                    <w:rFonts w:ascii="Arial" w:hAnsi="Arial" w:cs="Arial"/>
                  </w:rPr>
                  <w:t>Date Ratified:</w:t>
                </w:r>
              </w:p>
            </w:tc>
            <w:tc>
              <w:tcPr>
                <w:tcW w:w="2455" w:type="dxa"/>
                <w:vAlign w:val="center"/>
              </w:tcPr>
              <w:p w14:paraId="4411F8B7" w14:textId="77777777" w:rsidR="002D3ECD" w:rsidRPr="005A6ADD" w:rsidRDefault="002D3ECD" w:rsidP="00814BC7">
                <w:pPr>
                  <w:pStyle w:val="TableText"/>
                  <w:rPr>
                    <w:rFonts w:ascii="Arial" w:hAnsi="Arial" w:cs="Arial"/>
                  </w:rPr>
                </w:pPr>
              </w:p>
            </w:tc>
            <w:tc>
              <w:tcPr>
                <w:tcW w:w="2475" w:type="dxa"/>
                <w:vAlign w:val="center"/>
              </w:tcPr>
              <w:p w14:paraId="007F67D7" w14:textId="77777777" w:rsidR="002D3ECD" w:rsidRPr="005A6ADD" w:rsidRDefault="002D3ECD" w:rsidP="00F010A3">
                <w:pPr>
                  <w:pStyle w:val="TableHeading"/>
                  <w:rPr>
                    <w:rFonts w:ascii="Arial" w:hAnsi="Arial" w:cs="Arial"/>
                  </w:rPr>
                </w:pPr>
                <w:r w:rsidRPr="005A6ADD">
                  <w:rPr>
                    <w:rFonts w:ascii="Arial" w:hAnsi="Arial" w:cs="Arial"/>
                  </w:rPr>
                  <w:t>Review Date:</w:t>
                </w:r>
              </w:p>
            </w:tc>
            <w:tc>
              <w:tcPr>
                <w:tcW w:w="2455" w:type="dxa"/>
                <w:tcBorders>
                  <w:right w:val="single" w:sz="4" w:space="0" w:color="auto"/>
                </w:tcBorders>
                <w:vAlign w:val="center"/>
              </w:tcPr>
              <w:p w14:paraId="32BF510A" w14:textId="77777777" w:rsidR="002D3ECD" w:rsidRPr="005A6ADD" w:rsidRDefault="002D3ECD" w:rsidP="00F010A3">
                <w:pPr>
                  <w:pStyle w:val="TableText"/>
                  <w:rPr>
                    <w:rFonts w:ascii="Arial" w:hAnsi="Arial" w:cs="Arial"/>
                  </w:rPr>
                </w:pPr>
              </w:p>
            </w:tc>
          </w:tr>
        </w:tbl>
        <w:p w14:paraId="166B15DC" w14:textId="77777777" w:rsidR="005A6ADD" w:rsidRPr="005A6ADD" w:rsidRDefault="005A6ADD" w:rsidP="005A6ADD">
          <w:pPr>
            <w:pStyle w:val="Guidance"/>
            <w:rPr>
              <w:rFonts w:cs="Arial"/>
              <w:i/>
              <w:iCs/>
              <w:color w:val="0070C0"/>
            </w:rPr>
          </w:pPr>
          <w:bookmarkStart w:id="0" w:name="_Toc523148719"/>
          <w:r w:rsidRPr="005A6ADD">
            <w:rPr>
              <w:rFonts w:cs="Arial"/>
              <w:i/>
              <w:iCs/>
              <w:color w:val="0070C0"/>
            </w:rPr>
            <w:t xml:space="preserve">Guidance: </w:t>
          </w:r>
          <w:proofErr w:type="spellStart"/>
          <w:r w:rsidRPr="005A6ADD">
            <w:rPr>
              <w:rFonts w:cs="Arial"/>
              <w:i/>
              <w:iCs/>
              <w:color w:val="0070C0"/>
            </w:rPr>
            <w:t>Worksafe</w:t>
          </w:r>
          <w:proofErr w:type="spellEnd"/>
          <w:r w:rsidRPr="005A6ADD">
            <w:rPr>
              <w:rFonts w:cs="Arial"/>
              <w:i/>
              <w:iCs/>
              <w:color w:val="0070C0"/>
            </w:rPr>
            <w:t xml:space="preserve"> Victoria has publications to help employers set up their OHS policies and procedures. Once complete, make these easy for your employees to find. </w:t>
          </w:r>
        </w:p>
        <w:p w14:paraId="25324489" w14:textId="77777777" w:rsidR="005A6ADD" w:rsidRPr="005A6ADD" w:rsidRDefault="005A6ADD" w:rsidP="005A6ADD">
          <w:pPr>
            <w:pStyle w:val="Guidance"/>
            <w:rPr>
              <w:rFonts w:cs="Arial"/>
              <w:i/>
              <w:iCs/>
              <w:color w:val="0070C0"/>
            </w:rPr>
          </w:pPr>
          <w:r w:rsidRPr="005A6ADD">
            <w:rPr>
              <w:rFonts w:cs="Arial"/>
              <w:i/>
              <w:iCs/>
              <w:color w:val="0070C0"/>
            </w:rPr>
            <w:t>Remember, under the Occupational Health and Safety 2004 Act you are obliged to consult with your employees on safety and provide them with protective personal equipment (PPE). For a full explanation of your legal obligations visit the WorkSafe website (</w:t>
          </w:r>
          <w:hyperlink r:id="rId13" w:history="1">
            <w:r w:rsidRPr="005A6ADD">
              <w:rPr>
                <w:rStyle w:val="Hyperlink"/>
                <w:rFonts w:eastAsiaTheme="majorEastAsia" w:cs="Arial"/>
                <w:i/>
                <w:iCs/>
                <w:color w:val="0070C0"/>
              </w:rPr>
              <w:t>worksafe.vic.gov.au</w:t>
            </w:r>
          </w:hyperlink>
          <w:r w:rsidRPr="005A6ADD">
            <w:rPr>
              <w:rFonts w:cs="Arial"/>
              <w:i/>
              <w:iCs/>
              <w:color w:val="0070C0"/>
            </w:rPr>
            <w:t xml:space="preserve">) or phone </w:t>
          </w:r>
          <w:proofErr w:type="spellStart"/>
          <w:r w:rsidRPr="005A6ADD">
            <w:rPr>
              <w:rFonts w:cs="Arial"/>
              <w:i/>
              <w:iCs/>
              <w:color w:val="0070C0"/>
            </w:rPr>
            <w:t>Worksafe</w:t>
          </w:r>
          <w:proofErr w:type="spellEnd"/>
          <w:r w:rsidRPr="005A6ADD">
            <w:rPr>
              <w:rFonts w:cs="Arial"/>
              <w:i/>
              <w:iCs/>
              <w:color w:val="0070C0"/>
            </w:rPr>
            <w:t xml:space="preserve"> on 1800 136 089.</w:t>
          </w:r>
        </w:p>
        <w:p w14:paraId="147BFB50" w14:textId="119FB711" w:rsidR="005A6ADD" w:rsidRPr="005A6ADD" w:rsidRDefault="005A6ADD" w:rsidP="005A6ADD">
          <w:pPr>
            <w:pStyle w:val="Guidance"/>
            <w:rPr>
              <w:rFonts w:cs="Arial"/>
              <w:iCs/>
              <w:color w:val="FF0000"/>
            </w:rPr>
          </w:pPr>
          <w:r w:rsidRPr="005A6ADD">
            <w:rPr>
              <w:rFonts w:cs="Arial"/>
              <w:iCs/>
              <w:color w:val="FF0000"/>
            </w:rPr>
            <w:t>For signatories to the NHACE 2016</w:t>
          </w:r>
          <w:r>
            <w:rPr>
              <w:rFonts w:cs="Arial"/>
              <w:iCs/>
              <w:color w:val="FF0000"/>
            </w:rPr>
            <w:t>,</w:t>
          </w:r>
          <w:r w:rsidRPr="005A6ADD">
            <w:rPr>
              <w:rFonts w:cs="Arial"/>
              <w:iCs/>
              <w:color w:val="FF0000"/>
            </w:rPr>
            <w:t xml:space="preserve"> 2018</w:t>
          </w:r>
          <w:r>
            <w:rPr>
              <w:rFonts w:cs="Arial"/>
              <w:iCs/>
              <w:color w:val="FF0000"/>
            </w:rPr>
            <w:t xml:space="preserve"> and 2024</w:t>
          </w:r>
          <w:r w:rsidRPr="005A6ADD">
            <w:rPr>
              <w:rFonts w:cs="Arial"/>
              <w:iCs/>
              <w:color w:val="FF0000"/>
            </w:rPr>
            <w:t>, please read in conjunction with clause 44 of the agreement.</w:t>
          </w:r>
        </w:p>
        <w:p w14:paraId="7364E0BC" w14:textId="77777777" w:rsidR="005A6ADD" w:rsidRPr="005A6ADD" w:rsidRDefault="005A6ADD" w:rsidP="005A6ADD">
          <w:pPr>
            <w:pStyle w:val="Heading2"/>
            <w:rPr>
              <w:rFonts w:ascii="Arial" w:hAnsi="Arial" w:cs="Arial"/>
            </w:rPr>
          </w:pPr>
          <w:r w:rsidRPr="005A6ADD">
            <w:rPr>
              <w:rFonts w:ascii="Arial" w:hAnsi="Arial" w:cs="Arial"/>
            </w:rPr>
            <w:t>Policy</w:t>
          </w:r>
        </w:p>
        <w:p w14:paraId="000E80BD" w14:textId="456D6DCB" w:rsidR="005A6ADD" w:rsidRPr="005A6ADD" w:rsidRDefault="005A6ADD" w:rsidP="005A6ADD">
          <w:pPr>
            <w:rPr>
              <w:rFonts w:ascii="Arial" w:hAnsi="Arial" w:cs="Arial"/>
            </w:rPr>
          </w:pPr>
          <w:r>
            <w:rPr>
              <w:rFonts w:ascii="Arial" w:hAnsi="Arial" w:cs="Arial"/>
            </w:rPr>
            <w:t>{Neighbourhood House}</w:t>
          </w:r>
          <w:r w:rsidRPr="005A6ADD">
            <w:rPr>
              <w:rFonts w:ascii="Arial" w:hAnsi="Arial" w:cs="Arial"/>
            </w:rPr>
            <w:t xml:space="preserve"> will, as far as practicable, provide a safe work environment for the health, safety and welfare of our employees, contractors, visitors and members of the public who may be affected by our work.</w:t>
          </w:r>
        </w:p>
        <w:p w14:paraId="476D90A0" w14:textId="3CA07871" w:rsidR="005A6ADD" w:rsidRPr="005A6ADD" w:rsidRDefault="005A6ADD" w:rsidP="005A6ADD">
          <w:pPr>
            <w:rPr>
              <w:rFonts w:ascii="Arial" w:hAnsi="Arial" w:cs="Arial"/>
            </w:rPr>
          </w:pPr>
          <w:r w:rsidRPr="005A6ADD">
            <w:rPr>
              <w:rFonts w:ascii="Arial" w:hAnsi="Arial" w:cs="Arial"/>
            </w:rPr>
            <w:t xml:space="preserve">To do this, </w:t>
          </w:r>
          <w:r>
            <w:rPr>
              <w:rFonts w:ascii="Arial" w:hAnsi="Arial" w:cs="Arial"/>
            </w:rPr>
            <w:t>{Neighbourhood House}</w:t>
          </w:r>
          <w:r w:rsidRPr="005A6ADD">
            <w:rPr>
              <w:rFonts w:ascii="Arial" w:hAnsi="Arial" w:cs="Arial"/>
            </w:rPr>
            <w:t xml:space="preserve"> will:</w:t>
          </w:r>
        </w:p>
        <w:p w14:paraId="51522C48" w14:textId="77777777" w:rsidR="005A6ADD" w:rsidRPr="005A6ADD" w:rsidRDefault="005A6ADD" w:rsidP="005A6ADD">
          <w:pPr>
            <w:pStyle w:val="ListParagraph"/>
            <w:numPr>
              <w:ilvl w:val="0"/>
              <w:numId w:val="44"/>
            </w:numPr>
            <w:spacing w:before="120" w:after="0" w:line="360" w:lineRule="auto"/>
            <w:rPr>
              <w:rFonts w:ascii="Arial" w:hAnsi="Arial" w:cs="Arial"/>
            </w:rPr>
          </w:pPr>
          <w:r w:rsidRPr="005A6ADD">
            <w:rPr>
              <w:rFonts w:ascii="Arial" w:hAnsi="Arial" w:cs="Arial"/>
            </w:rPr>
            <w:t>develop and maintain safe systems of work, and a safe working environment</w:t>
          </w:r>
        </w:p>
        <w:p w14:paraId="5879ABAF" w14:textId="77777777" w:rsidR="005A6ADD" w:rsidRPr="005A6ADD" w:rsidRDefault="005A6ADD" w:rsidP="005A6ADD">
          <w:pPr>
            <w:pStyle w:val="ListParagraph"/>
            <w:numPr>
              <w:ilvl w:val="0"/>
              <w:numId w:val="44"/>
            </w:numPr>
            <w:spacing w:before="120" w:after="0" w:line="360" w:lineRule="auto"/>
            <w:rPr>
              <w:rFonts w:ascii="Arial" w:hAnsi="Arial" w:cs="Arial"/>
            </w:rPr>
          </w:pPr>
          <w:r w:rsidRPr="005A6ADD">
            <w:rPr>
              <w:rFonts w:ascii="Arial" w:hAnsi="Arial" w:cs="Arial"/>
            </w:rPr>
            <w:t>consult with employees and health and safety reps on safety</w:t>
          </w:r>
        </w:p>
        <w:p w14:paraId="4EBC3722" w14:textId="77777777" w:rsidR="005A6ADD" w:rsidRPr="005A6ADD" w:rsidRDefault="005A6ADD" w:rsidP="005A6ADD">
          <w:pPr>
            <w:pStyle w:val="ListParagraph"/>
            <w:numPr>
              <w:ilvl w:val="0"/>
              <w:numId w:val="44"/>
            </w:numPr>
            <w:spacing w:before="120" w:after="0" w:line="360" w:lineRule="auto"/>
            <w:rPr>
              <w:rFonts w:ascii="Arial" w:hAnsi="Arial" w:cs="Arial"/>
            </w:rPr>
          </w:pPr>
          <w:r w:rsidRPr="005A6ADD">
            <w:rPr>
              <w:rFonts w:ascii="Arial" w:hAnsi="Arial" w:cs="Arial"/>
            </w:rPr>
            <w:t>provide protective clothing and equipment, and enforce its use</w:t>
          </w:r>
        </w:p>
        <w:p w14:paraId="259BF609" w14:textId="77777777" w:rsidR="005A6ADD" w:rsidRPr="005A6ADD" w:rsidRDefault="005A6ADD" w:rsidP="005A6ADD">
          <w:pPr>
            <w:pStyle w:val="ListParagraph"/>
            <w:numPr>
              <w:ilvl w:val="0"/>
              <w:numId w:val="44"/>
            </w:numPr>
            <w:spacing w:before="120" w:after="0" w:line="360" w:lineRule="auto"/>
            <w:rPr>
              <w:rFonts w:ascii="Arial" w:hAnsi="Arial" w:cs="Arial"/>
            </w:rPr>
          </w:pPr>
          <w:r w:rsidRPr="005A6ADD">
            <w:rPr>
              <w:rFonts w:ascii="Arial" w:hAnsi="Arial" w:cs="Arial"/>
            </w:rPr>
            <w:t xml:space="preserve">provide information and training for employees </w:t>
          </w:r>
        </w:p>
        <w:p w14:paraId="6B3A7336" w14:textId="77777777" w:rsidR="005A6ADD" w:rsidRPr="005A6ADD" w:rsidRDefault="005A6ADD" w:rsidP="005A6ADD">
          <w:pPr>
            <w:pStyle w:val="ListParagraph"/>
            <w:numPr>
              <w:ilvl w:val="0"/>
              <w:numId w:val="44"/>
            </w:numPr>
            <w:spacing w:before="120" w:after="0" w:line="360" w:lineRule="auto"/>
            <w:rPr>
              <w:rFonts w:ascii="Arial" w:hAnsi="Arial" w:cs="Arial"/>
            </w:rPr>
          </w:pPr>
          <w:r w:rsidRPr="005A6ADD">
            <w:rPr>
              <w:rFonts w:ascii="Arial" w:hAnsi="Arial" w:cs="Arial"/>
            </w:rPr>
            <w:lastRenderedPageBreak/>
            <w:t>assess all risks before work starts on new areas of operation, for example, buying new equipment and setting up new work methods, and regularly review these risks</w:t>
          </w:r>
        </w:p>
        <w:p w14:paraId="3C62C472" w14:textId="77777777" w:rsidR="005A6ADD" w:rsidRPr="005A6ADD" w:rsidRDefault="005A6ADD" w:rsidP="005A6ADD">
          <w:pPr>
            <w:pStyle w:val="ListParagraph"/>
            <w:numPr>
              <w:ilvl w:val="0"/>
              <w:numId w:val="44"/>
            </w:numPr>
            <w:spacing w:before="120" w:after="0" w:line="360" w:lineRule="auto"/>
            <w:rPr>
              <w:rFonts w:ascii="Arial" w:hAnsi="Arial" w:cs="Arial"/>
            </w:rPr>
          </w:pPr>
          <w:r w:rsidRPr="005A6ADD">
            <w:rPr>
              <w:rFonts w:ascii="Arial" w:hAnsi="Arial" w:cs="Arial"/>
            </w:rPr>
            <w:t>remove unacceptable risks to safety</w:t>
          </w:r>
        </w:p>
        <w:p w14:paraId="34171D8F" w14:textId="77777777" w:rsidR="005A6ADD" w:rsidRPr="005A6ADD" w:rsidRDefault="005A6ADD" w:rsidP="005A6ADD">
          <w:pPr>
            <w:pStyle w:val="ListParagraph"/>
            <w:numPr>
              <w:ilvl w:val="0"/>
              <w:numId w:val="44"/>
            </w:numPr>
            <w:spacing w:before="120" w:after="0" w:line="360" w:lineRule="auto"/>
            <w:rPr>
              <w:rFonts w:ascii="Arial" w:hAnsi="Arial" w:cs="Arial"/>
            </w:rPr>
          </w:pPr>
          <w:r w:rsidRPr="005A6ADD">
            <w:rPr>
              <w:rFonts w:ascii="Arial" w:hAnsi="Arial" w:cs="Arial"/>
            </w:rPr>
            <w:t>provide employees and contractors with adequate facilities (such as clean toilets, cool and clean drinking water, and hygienic eating areas)</w:t>
          </w:r>
        </w:p>
        <w:p w14:paraId="75D5D01C" w14:textId="2E9AEF6D" w:rsidR="005A6ADD" w:rsidRPr="005A6ADD" w:rsidRDefault="005A6ADD" w:rsidP="005A6ADD">
          <w:pPr>
            <w:rPr>
              <w:rFonts w:ascii="Arial" w:hAnsi="Arial" w:cs="Arial"/>
            </w:rPr>
          </w:pPr>
          <w:r w:rsidRPr="005A6ADD">
            <w:rPr>
              <w:rFonts w:ascii="Arial" w:hAnsi="Arial" w:cs="Arial"/>
            </w:rPr>
            <w:t>Ultimately, everyone at the workplace is responsible for ensuring health and safety at that workplace.</w:t>
          </w:r>
        </w:p>
        <w:p w14:paraId="269DC838" w14:textId="77777777" w:rsidR="005A6ADD" w:rsidRPr="005A6ADD" w:rsidRDefault="005A6ADD" w:rsidP="005A6ADD">
          <w:pPr>
            <w:rPr>
              <w:rFonts w:ascii="Arial" w:hAnsi="Arial" w:cs="Arial"/>
            </w:rPr>
          </w:pPr>
          <w:r w:rsidRPr="005A6ADD">
            <w:rPr>
              <w:rFonts w:ascii="Arial" w:hAnsi="Arial" w:cs="Arial"/>
            </w:rPr>
            <w:t>All persons responsible for the work activities of other employees are accountable for:</w:t>
          </w:r>
        </w:p>
        <w:p w14:paraId="0E16E48A" w14:textId="77777777" w:rsidR="005A6ADD" w:rsidRPr="005A6ADD" w:rsidRDefault="005A6ADD" w:rsidP="005A6ADD">
          <w:pPr>
            <w:pStyle w:val="ListParagraph"/>
            <w:numPr>
              <w:ilvl w:val="0"/>
              <w:numId w:val="45"/>
            </w:numPr>
            <w:spacing w:before="120" w:after="0" w:line="360" w:lineRule="auto"/>
            <w:rPr>
              <w:rFonts w:ascii="Arial" w:hAnsi="Arial" w:cs="Arial"/>
            </w:rPr>
          </w:pPr>
          <w:r w:rsidRPr="005A6ADD">
            <w:rPr>
              <w:rFonts w:ascii="Arial" w:hAnsi="Arial" w:cs="Arial"/>
            </w:rPr>
            <w:t>identifying practices and conditions that could injure employees, clients, members of the public or the environment</w:t>
          </w:r>
        </w:p>
        <w:p w14:paraId="1F4A2D98" w14:textId="77777777" w:rsidR="005A6ADD" w:rsidRPr="005A6ADD" w:rsidRDefault="005A6ADD" w:rsidP="005A6ADD">
          <w:pPr>
            <w:pStyle w:val="ListParagraph"/>
            <w:numPr>
              <w:ilvl w:val="0"/>
              <w:numId w:val="45"/>
            </w:numPr>
            <w:spacing w:before="120" w:after="0" w:line="360" w:lineRule="auto"/>
            <w:rPr>
              <w:rFonts w:ascii="Arial" w:hAnsi="Arial" w:cs="Arial"/>
            </w:rPr>
          </w:pPr>
          <w:r w:rsidRPr="005A6ADD">
            <w:rPr>
              <w:rFonts w:ascii="Arial" w:hAnsi="Arial" w:cs="Arial"/>
            </w:rPr>
            <w:t>controlling such situations or removing the risk to safety. If unable to control such practices and conditions, report these to their manager</w:t>
          </w:r>
        </w:p>
        <w:p w14:paraId="7BC3E12E" w14:textId="77777777" w:rsidR="005A6ADD" w:rsidRPr="005A6ADD" w:rsidRDefault="005A6ADD" w:rsidP="005A6ADD">
          <w:pPr>
            <w:pStyle w:val="ListParagraph"/>
            <w:numPr>
              <w:ilvl w:val="0"/>
              <w:numId w:val="45"/>
            </w:numPr>
            <w:spacing w:before="120" w:after="0" w:line="360" w:lineRule="auto"/>
            <w:rPr>
              <w:rFonts w:ascii="Arial" w:hAnsi="Arial" w:cs="Arial"/>
            </w:rPr>
          </w:pPr>
          <w:r w:rsidRPr="005A6ADD">
            <w:rPr>
              <w:rFonts w:ascii="Arial" w:hAnsi="Arial" w:cs="Arial"/>
            </w:rPr>
            <w:t>making sure workers use personal protective equipment (PPE), training workers to use PPE correctly</w:t>
          </w:r>
        </w:p>
        <w:p w14:paraId="24A28E0F" w14:textId="77777777" w:rsidR="005A6ADD" w:rsidRPr="005A6ADD" w:rsidRDefault="005A6ADD" w:rsidP="005A6ADD">
          <w:pPr>
            <w:pStyle w:val="ListParagraph"/>
            <w:numPr>
              <w:ilvl w:val="0"/>
              <w:numId w:val="45"/>
            </w:numPr>
            <w:spacing w:before="120" w:after="0" w:line="360" w:lineRule="auto"/>
            <w:rPr>
              <w:rFonts w:ascii="Arial" w:hAnsi="Arial" w:cs="Arial"/>
            </w:rPr>
          </w:pPr>
          <w:r w:rsidRPr="005A6ADD">
            <w:rPr>
              <w:rFonts w:ascii="Arial" w:hAnsi="Arial" w:cs="Arial"/>
            </w:rPr>
            <w:t>making sure PPE is maintained and working properly</w:t>
          </w:r>
        </w:p>
        <w:p w14:paraId="0B30A21B" w14:textId="7A77E5CF" w:rsidR="005A6ADD" w:rsidRPr="005A6ADD" w:rsidRDefault="005A6ADD" w:rsidP="005A6ADD">
          <w:pPr>
            <w:rPr>
              <w:rFonts w:ascii="Arial" w:hAnsi="Arial" w:cs="Arial"/>
            </w:rPr>
          </w:pPr>
          <w:r>
            <w:rPr>
              <w:rFonts w:ascii="Arial" w:hAnsi="Arial" w:cs="Arial"/>
            </w:rPr>
            <w:t>{Neighbourhood House}</w:t>
          </w:r>
          <w:r w:rsidRPr="005A6ADD">
            <w:rPr>
              <w:rFonts w:ascii="Arial" w:hAnsi="Arial" w:cs="Arial"/>
            </w:rPr>
            <w:t xml:space="preserve"> demands a positive, proactive attitude and performance with respect to protecting health, safety and the environment by all employees, irrespective of their position.</w:t>
          </w:r>
          <w:bookmarkStart w:id="1" w:name="_Toc131584570"/>
          <w:bookmarkStart w:id="2" w:name="_Toc131584644"/>
          <w:bookmarkStart w:id="3" w:name="_Toc131585110"/>
          <w:bookmarkStart w:id="4" w:name="_Toc131585481"/>
          <w:bookmarkStart w:id="5" w:name="_Toc131587784"/>
          <w:bookmarkStart w:id="6" w:name="_Toc131588174"/>
          <w:bookmarkStart w:id="7" w:name="_Toc183409705"/>
          <w:r w:rsidRPr="005A6ADD">
            <w:rPr>
              <w:rFonts w:ascii="Arial" w:hAnsi="Arial" w:cs="Arial"/>
            </w:rPr>
            <w:t xml:space="preserve"> </w:t>
          </w:r>
        </w:p>
        <w:p w14:paraId="63C79250" w14:textId="77777777" w:rsidR="005A6ADD" w:rsidRPr="005A6ADD" w:rsidRDefault="005A6ADD" w:rsidP="005A6ADD">
          <w:pPr>
            <w:pStyle w:val="Heading2"/>
            <w:rPr>
              <w:rFonts w:ascii="Arial" w:hAnsi="Arial" w:cs="Arial"/>
            </w:rPr>
          </w:pPr>
          <w:bookmarkStart w:id="8" w:name="_Toc131584572"/>
          <w:bookmarkStart w:id="9" w:name="_Toc131584646"/>
          <w:bookmarkStart w:id="10" w:name="_Toc131585112"/>
          <w:bookmarkStart w:id="11" w:name="_Toc131585483"/>
          <w:bookmarkStart w:id="12" w:name="_Toc131587786"/>
          <w:bookmarkStart w:id="13" w:name="_Toc131588176"/>
          <w:bookmarkStart w:id="14" w:name="_Toc183409707"/>
          <w:bookmarkEnd w:id="1"/>
          <w:bookmarkEnd w:id="2"/>
          <w:bookmarkEnd w:id="3"/>
          <w:bookmarkEnd w:id="4"/>
          <w:bookmarkEnd w:id="5"/>
          <w:bookmarkEnd w:id="6"/>
          <w:bookmarkEnd w:id="7"/>
          <w:r w:rsidRPr="005A6ADD">
            <w:rPr>
              <w:rFonts w:ascii="Arial" w:hAnsi="Arial" w:cs="Arial"/>
            </w:rPr>
            <w:t>Manual handling</w:t>
          </w:r>
          <w:bookmarkEnd w:id="8"/>
          <w:bookmarkEnd w:id="9"/>
          <w:bookmarkEnd w:id="10"/>
          <w:bookmarkEnd w:id="11"/>
          <w:bookmarkEnd w:id="12"/>
          <w:bookmarkEnd w:id="13"/>
          <w:bookmarkEnd w:id="14"/>
          <w:r w:rsidRPr="005A6ADD">
            <w:rPr>
              <w:rFonts w:ascii="Arial" w:hAnsi="Arial" w:cs="Arial"/>
            </w:rPr>
            <w:t xml:space="preserve"> policy</w:t>
          </w:r>
        </w:p>
        <w:p w14:paraId="7A450337" w14:textId="08797146" w:rsidR="005A6ADD" w:rsidRPr="005A6ADD" w:rsidRDefault="005A6ADD" w:rsidP="005A6ADD">
          <w:pPr>
            <w:rPr>
              <w:rFonts w:ascii="Arial" w:hAnsi="Arial" w:cs="Arial"/>
            </w:rPr>
          </w:pPr>
          <w:r w:rsidRPr="005A6ADD">
            <w:rPr>
              <w:rFonts w:ascii="Arial" w:hAnsi="Arial" w:cs="Arial"/>
            </w:rPr>
            <w:t xml:space="preserve">It is </w:t>
          </w:r>
          <w:r>
            <w:rPr>
              <w:rFonts w:ascii="Arial" w:hAnsi="Arial" w:cs="Arial"/>
            </w:rPr>
            <w:t>{Neighbourhood House}</w:t>
          </w:r>
          <w:r w:rsidRPr="005A6ADD">
            <w:rPr>
              <w:rFonts w:ascii="Arial" w:hAnsi="Arial" w:cs="Arial"/>
            </w:rPr>
            <w:t>’s policy to provide all employees with a safe and healthy workplace by identifying, assessing and controlling manual handling risks.</w:t>
          </w:r>
        </w:p>
        <w:p w14:paraId="4499545C" w14:textId="77777777" w:rsidR="005A6ADD" w:rsidRPr="005A6ADD" w:rsidRDefault="005A6ADD" w:rsidP="005A6ADD">
          <w:pPr>
            <w:rPr>
              <w:rFonts w:ascii="Arial" w:hAnsi="Arial" w:cs="Arial"/>
            </w:rPr>
          </w:pPr>
          <w:r w:rsidRPr="005A6ADD">
            <w:rPr>
              <w:rFonts w:ascii="Arial" w:hAnsi="Arial" w:cs="Arial"/>
            </w:rPr>
            <w:t>While management is responsible for the health, safety and welfare of all staff, all employees must report potential and actual manual handling hazards.</w:t>
          </w:r>
        </w:p>
        <w:p w14:paraId="49461F2B" w14:textId="77777777" w:rsidR="005A6ADD" w:rsidRPr="005A6ADD" w:rsidRDefault="005A6ADD" w:rsidP="005A6ADD">
          <w:pPr>
            <w:rPr>
              <w:rFonts w:ascii="Arial" w:hAnsi="Arial" w:cs="Arial"/>
            </w:rPr>
          </w:pPr>
          <w:r w:rsidRPr="005A6ADD">
            <w:rPr>
              <w:rFonts w:ascii="Arial" w:hAnsi="Arial" w:cs="Arial"/>
            </w:rPr>
            <w:t>Never lift or manually handle items larger or heavier than you can easily support. If you are in any doubt, do not hesitate to ask for help.</w:t>
          </w:r>
        </w:p>
        <w:p w14:paraId="222694FB" w14:textId="77777777" w:rsidR="005A6ADD" w:rsidRPr="005A6ADD" w:rsidRDefault="005A6ADD" w:rsidP="005A6ADD">
          <w:pPr>
            <w:pStyle w:val="Heading2"/>
            <w:rPr>
              <w:rFonts w:ascii="Arial" w:hAnsi="Arial" w:cs="Arial"/>
            </w:rPr>
          </w:pPr>
          <w:bookmarkStart w:id="15" w:name="_Toc131584573"/>
          <w:bookmarkStart w:id="16" w:name="_Toc131584647"/>
          <w:bookmarkStart w:id="17" w:name="_Toc131585113"/>
          <w:bookmarkStart w:id="18" w:name="_Toc131585484"/>
          <w:bookmarkStart w:id="19" w:name="_Toc131587787"/>
          <w:bookmarkStart w:id="20" w:name="_Toc131588177"/>
          <w:bookmarkStart w:id="21" w:name="_Toc183409708"/>
          <w:r w:rsidRPr="005A6ADD">
            <w:rPr>
              <w:rFonts w:ascii="Arial" w:hAnsi="Arial" w:cs="Arial"/>
            </w:rPr>
            <w:t>Workers’ compensation</w:t>
          </w:r>
          <w:bookmarkEnd w:id="15"/>
          <w:bookmarkEnd w:id="16"/>
          <w:bookmarkEnd w:id="17"/>
          <w:bookmarkEnd w:id="18"/>
          <w:bookmarkEnd w:id="19"/>
          <w:bookmarkEnd w:id="20"/>
          <w:bookmarkEnd w:id="21"/>
          <w:r w:rsidRPr="005A6ADD">
            <w:rPr>
              <w:rFonts w:ascii="Arial" w:hAnsi="Arial" w:cs="Arial"/>
            </w:rPr>
            <w:t xml:space="preserve"> policy</w:t>
          </w:r>
        </w:p>
        <w:p w14:paraId="3D2E2B4A" w14:textId="77777777" w:rsidR="005A6ADD" w:rsidRPr="005A6ADD" w:rsidRDefault="005A6ADD" w:rsidP="005A6ADD">
          <w:pPr>
            <w:rPr>
              <w:rFonts w:ascii="Arial" w:hAnsi="Arial" w:cs="Arial"/>
            </w:rPr>
          </w:pPr>
          <w:r w:rsidRPr="005A6ADD">
            <w:rPr>
              <w:rFonts w:ascii="Arial" w:hAnsi="Arial" w:cs="Arial"/>
            </w:rPr>
            <w:t>All employees may be eligible for workers’ compensation benefits if injured while at work.</w:t>
          </w:r>
        </w:p>
        <w:p w14:paraId="2F3F8203" w14:textId="77777777" w:rsidR="005A6ADD" w:rsidRPr="005A6ADD" w:rsidRDefault="005A6ADD" w:rsidP="005A6ADD">
          <w:pPr>
            <w:pStyle w:val="Heading2"/>
            <w:rPr>
              <w:rFonts w:ascii="Arial" w:hAnsi="Arial" w:cs="Arial"/>
            </w:rPr>
          </w:pPr>
          <w:r w:rsidRPr="005A6ADD">
            <w:rPr>
              <w:rFonts w:ascii="Arial" w:hAnsi="Arial" w:cs="Arial"/>
            </w:rPr>
            <w:t>Injury procedure</w:t>
          </w:r>
        </w:p>
        <w:p w14:paraId="326B758C" w14:textId="77777777" w:rsidR="005A6ADD" w:rsidRPr="005A6ADD" w:rsidRDefault="005A6ADD" w:rsidP="005A6ADD">
          <w:pPr>
            <w:rPr>
              <w:rFonts w:ascii="Arial" w:hAnsi="Arial" w:cs="Arial"/>
            </w:rPr>
          </w:pPr>
          <w:r w:rsidRPr="005A6ADD">
            <w:rPr>
              <w:rFonts w:ascii="Arial" w:hAnsi="Arial" w:cs="Arial"/>
            </w:rPr>
            <w:t>If there is an injury:</w:t>
          </w:r>
        </w:p>
        <w:p w14:paraId="5F894823" w14:textId="03B6511F" w:rsidR="005A6ADD" w:rsidRPr="005A6ADD" w:rsidRDefault="005A6ADD" w:rsidP="005A6ADD">
          <w:pPr>
            <w:numPr>
              <w:ilvl w:val="0"/>
              <w:numId w:val="40"/>
            </w:numPr>
            <w:spacing w:before="120" w:after="0" w:line="360" w:lineRule="auto"/>
            <w:rPr>
              <w:rFonts w:ascii="Arial" w:hAnsi="Arial" w:cs="Arial"/>
            </w:rPr>
          </w:pPr>
          <w:r w:rsidRPr="005A6ADD">
            <w:rPr>
              <w:rFonts w:ascii="Arial" w:hAnsi="Arial" w:cs="Arial"/>
            </w:rPr>
            <w:t xml:space="preserve">The </w:t>
          </w:r>
          <w:proofErr w:type="gramStart"/>
          <w:r w:rsidRPr="005A6ADD">
            <w:rPr>
              <w:rFonts w:ascii="Arial" w:hAnsi="Arial" w:cs="Arial"/>
            </w:rPr>
            <w:t>first priority</w:t>
          </w:r>
          <w:proofErr w:type="gramEnd"/>
          <w:r w:rsidRPr="005A6ADD">
            <w:rPr>
              <w:rFonts w:ascii="Arial" w:hAnsi="Arial" w:cs="Arial"/>
            </w:rPr>
            <w:t xml:space="preserve"> is medical attention. The injured worker or nearest colleague should contact one of </w:t>
          </w:r>
          <w:r>
            <w:rPr>
              <w:rFonts w:ascii="Arial" w:hAnsi="Arial" w:cs="Arial"/>
            </w:rPr>
            <w:t>{Neighbourhood House}</w:t>
          </w:r>
          <w:r w:rsidRPr="005A6ADD">
            <w:rPr>
              <w:rFonts w:ascii="Arial" w:hAnsi="Arial" w:cs="Arial"/>
            </w:rPr>
            <w:t>’s first aiders. For a serious injury also call an ambulance.</w:t>
          </w:r>
        </w:p>
        <w:p w14:paraId="30A13D1C" w14:textId="77777777" w:rsidR="005A6ADD" w:rsidRPr="005A6ADD" w:rsidRDefault="005A6ADD" w:rsidP="005A6ADD">
          <w:pPr>
            <w:numPr>
              <w:ilvl w:val="0"/>
              <w:numId w:val="40"/>
            </w:numPr>
            <w:spacing w:before="120" w:after="0" w:line="360" w:lineRule="auto"/>
            <w:rPr>
              <w:rFonts w:ascii="Arial" w:hAnsi="Arial" w:cs="Arial"/>
            </w:rPr>
          </w:pPr>
          <w:r w:rsidRPr="005A6ADD">
            <w:rPr>
              <w:rFonts w:ascii="Arial" w:hAnsi="Arial" w:cs="Arial"/>
            </w:rPr>
            <w:lastRenderedPageBreak/>
            <w:t>Any employee who is injured on the job, experiences a safety incident or a near miss, must report the incident to their manager.</w:t>
          </w:r>
        </w:p>
        <w:p w14:paraId="34B21F35" w14:textId="77777777" w:rsidR="005A6ADD" w:rsidRPr="005A6ADD" w:rsidRDefault="005A6ADD" w:rsidP="005A6ADD">
          <w:pPr>
            <w:numPr>
              <w:ilvl w:val="0"/>
              <w:numId w:val="40"/>
            </w:numPr>
            <w:spacing w:before="120" w:after="0" w:line="360" w:lineRule="auto"/>
            <w:rPr>
              <w:rFonts w:ascii="Arial" w:hAnsi="Arial" w:cs="Arial"/>
            </w:rPr>
          </w:pPr>
          <w:r w:rsidRPr="005A6ADD">
            <w:rPr>
              <w:rFonts w:ascii="Arial" w:hAnsi="Arial" w:cs="Arial"/>
            </w:rPr>
            <w:t>The manager must write a report in the Register of Injuries, Incidents and Near Misses. This standard report must include:</w:t>
          </w:r>
        </w:p>
        <w:p w14:paraId="30640B66" w14:textId="77777777" w:rsidR="005A6ADD" w:rsidRPr="005A6ADD" w:rsidRDefault="005A6ADD" w:rsidP="005A6ADD">
          <w:pPr>
            <w:pStyle w:val="ListParagraph"/>
            <w:numPr>
              <w:ilvl w:val="0"/>
              <w:numId w:val="46"/>
            </w:numPr>
            <w:spacing w:before="120" w:after="0" w:line="360" w:lineRule="auto"/>
            <w:rPr>
              <w:rFonts w:ascii="Arial" w:hAnsi="Arial" w:cs="Arial"/>
            </w:rPr>
          </w:pPr>
          <w:r w:rsidRPr="005A6ADD">
            <w:rPr>
              <w:rFonts w:ascii="Arial" w:hAnsi="Arial" w:cs="Arial"/>
            </w:rPr>
            <w:t>employee’s name and job details</w:t>
          </w:r>
        </w:p>
        <w:p w14:paraId="0916050D" w14:textId="77777777" w:rsidR="005A6ADD" w:rsidRPr="005A6ADD" w:rsidRDefault="005A6ADD" w:rsidP="005A6ADD">
          <w:pPr>
            <w:pStyle w:val="ListParagraph"/>
            <w:numPr>
              <w:ilvl w:val="0"/>
              <w:numId w:val="46"/>
            </w:numPr>
            <w:spacing w:before="120" w:after="0" w:line="360" w:lineRule="auto"/>
            <w:rPr>
              <w:rFonts w:ascii="Arial" w:hAnsi="Arial" w:cs="Arial"/>
            </w:rPr>
          </w:pPr>
          <w:r w:rsidRPr="005A6ADD">
            <w:rPr>
              <w:rFonts w:ascii="Arial" w:hAnsi="Arial" w:cs="Arial"/>
            </w:rPr>
            <w:t>time and date of injury</w:t>
          </w:r>
        </w:p>
        <w:p w14:paraId="2CCC71A8" w14:textId="77777777" w:rsidR="005A6ADD" w:rsidRPr="005A6ADD" w:rsidRDefault="005A6ADD" w:rsidP="005A6ADD">
          <w:pPr>
            <w:pStyle w:val="ListParagraph"/>
            <w:numPr>
              <w:ilvl w:val="0"/>
              <w:numId w:val="46"/>
            </w:numPr>
            <w:spacing w:before="120" w:after="0" w:line="360" w:lineRule="auto"/>
            <w:rPr>
              <w:rFonts w:ascii="Arial" w:hAnsi="Arial" w:cs="Arial"/>
            </w:rPr>
          </w:pPr>
          <w:r w:rsidRPr="005A6ADD">
            <w:rPr>
              <w:rFonts w:ascii="Arial" w:hAnsi="Arial" w:cs="Arial"/>
            </w:rPr>
            <w:t>exact location the injury/incident occurred</w:t>
          </w:r>
        </w:p>
        <w:p w14:paraId="3A30FAC5" w14:textId="77777777" w:rsidR="005A6ADD" w:rsidRPr="005A6ADD" w:rsidRDefault="005A6ADD" w:rsidP="005A6ADD">
          <w:pPr>
            <w:pStyle w:val="ListParagraph"/>
            <w:numPr>
              <w:ilvl w:val="0"/>
              <w:numId w:val="46"/>
            </w:numPr>
            <w:spacing w:before="120" w:after="0" w:line="360" w:lineRule="auto"/>
            <w:rPr>
              <w:rFonts w:ascii="Arial" w:hAnsi="Arial" w:cs="Arial"/>
            </w:rPr>
          </w:pPr>
          <w:r w:rsidRPr="005A6ADD">
            <w:rPr>
              <w:rFonts w:ascii="Arial" w:hAnsi="Arial" w:cs="Arial"/>
            </w:rPr>
            <w:t>how the injury/incident happened</w:t>
          </w:r>
        </w:p>
        <w:p w14:paraId="04112F03" w14:textId="77777777" w:rsidR="005A6ADD" w:rsidRPr="005A6ADD" w:rsidRDefault="005A6ADD" w:rsidP="005A6ADD">
          <w:pPr>
            <w:pStyle w:val="ListParagraph"/>
            <w:numPr>
              <w:ilvl w:val="0"/>
              <w:numId w:val="46"/>
            </w:numPr>
            <w:spacing w:before="120" w:after="0" w:line="360" w:lineRule="auto"/>
            <w:rPr>
              <w:rFonts w:ascii="Arial" w:hAnsi="Arial" w:cs="Arial"/>
            </w:rPr>
          </w:pPr>
          <w:r w:rsidRPr="005A6ADD">
            <w:rPr>
              <w:rFonts w:ascii="Arial" w:hAnsi="Arial" w:cs="Arial"/>
            </w:rPr>
            <w:t>details of the injury/illness and the part/s of the body injured</w:t>
          </w:r>
        </w:p>
        <w:p w14:paraId="22453898" w14:textId="77777777" w:rsidR="005A6ADD" w:rsidRPr="005A6ADD" w:rsidRDefault="005A6ADD" w:rsidP="005A6ADD">
          <w:pPr>
            <w:pStyle w:val="ListParagraph"/>
            <w:numPr>
              <w:ilvl w:val="0"/>
              <w:numId w:val="46"/>
            </w:numPr>
            <w:spacing w:before="120" w:after="0" w:line="360" w:lineRule="auto"/>
            <w:rPr>
              <w:rFonts w:ascii="Arial" w:hAnsi="Arial" w:cs="Arial"/>
            </w:rPr>
          </w:pPr>
          <w:r w:rsidRPr="005A6ADD">
            <w:rPr>
              <w:rFonts w:ascii="Arial" w:hAnsi="Arial" w:cs="Arial"/>
            </w:rPr>
            <w:t>names of any witnesses</w:t>
          </w:r>
        </w:p>
        <w:p w14:paraId="5498E307" w14:textId="77777777" w:rsidR="005A6ADD" w:rsidRPr="005A6ADD" w:rsidRDefault="005A6ADD" w:rsidP="005A6ADD">
          <w:pPr>
            <w:pStyle w:val="ListParagraph"/>
            <w:numPr>
              <w:ilvl w:val="0"/>
              <w:numId w:val="46"/>
            </w:numPr>
            <w:spacing w:before="120" w:after="0" w:line="360" w:lineRule="auto"/>
            <w:rPr>
              <w:rFonts w:ascii="Arial" w:hAnsi="Arial" w:cs="Arial"/>
            </w:rPr>
          </w:pPr>
          <w:r w:rsidRPr="005A6ADD">
            <w:rPr>
              <w:rFonts w:ascii="Arial" w:hAnsi="Arial" w:cs="Arial"/>
            </w:rPr>
            <w:t>name of the person entering details in the Register</w:t>
          </w:r>
        </w:p>
        <w:p w14:paraId="084A6C26" w14:textId="77777777" w:rsidR="005A6ADD" w:rsidRPr="005A6ADD" w:rsidRDefault="005A6ADD" w:rsidP="005A6ADD">
          <w:pPr>
            <w:pStyle w:val="ListParagraph"/>
            <w:numPr>
              <w:ilvl w:val="0"/>
              <w:numId w:val="46"/>
            </w:numPr>
            <w:spacing w:before="120" w:after="0" w:line="360" w:lineRule="auto"/>
            <w:rPr>
              <w:rFonts w:ascii="Arial" w:hAnsi="Arial" w:cs="Arial"/>
            </w:rPr>
          </w:pPr>
          <w:r w:rsidRPr="005A6ADD">
            <w:rPr>
              <w:rFonts w:ascii="Arial" w:hAnsi="Arial" w:cs="Arial"/>
            </w:rPr>
            <w:t>date the employer was notified</w:t>
          </w:r>
        </w:p>
        <w:p w14:paraId="2A2390CC" w14:textId="739036D3" w:rsidR="005A6ADD" w:rsidRPr="005A6ADD" w:rsidRDefault="005A6ADD" w:rsidP="005A6ADD">
          <w:pPr>
            <w:numPr>
              <w:ilvl w:val="0"/>
              <w:numId w:val="40"/>
            </w:numPr>
            <w:spacing w:before="120" w:after="0" w:line="360" w:lineRule="auto"/>
            <w:rPr>
              <w:rFonts w:ascii="Arial" w:hAnsi="Arial" w:cs="Arial"/>
            </w:rPr>
          </w:pPr>
          <w:r>
            <w:rPr>
              <w:rFonts w:ascii="Arial" w:hAnsi="Arial" w:cs="Arial"/>
            </w:rPr>
            <w:t>{Neighbourhood House}</w:t>
          </w:r>
          <w:r w:rsidRPr="005A6ADD">
            <w:rPr>
              <w:rFonts w:ascii="Arial" w:hAnsi="Arial" w:cs="Arial"/>
            </w:rPr>
            <w:t xml:space="preserve"> will let the injured employee know in writing that we have received notification of any injury or illness reported in the Register.</w:t>
          </w:r>
        </w:p>
        <w:p w14:paraId="3176B548" w14:textId="77777777" w:rsidR="005A6ADD" w:rsidRPr="005A6ADD" w:rsidRDefault="005A6ADD" w:rsidP="005A6ADD">
          <w:pPr>
            <w:rPr>
              <w:rFonts w:ascii="Arial" w:hAnsi="Arial" w:cs="Arial"/>
            </w:rPr>
          </w:pPr>
          <w:r w:rsidRPr="005A6ADD">
            <w:rPr>
              <w:rFonts w:ascii="Arial" w:hAnsi="Arial" w:cs="Arial"/>
            </w:rPr>
            <w:t>The manager must report serious injuries to WorkSafe immediately.</w:t>
          </w:r>
        </w:p>
        <w:p w14:paraId="32155676" w14:textId="77777777" w:rsidR="005A6ADD" w:rsidRPr="005A6ADD" w:rsidRDefault="005A6ADD" w:rsidP="005A6ADD">
          <w:pPr>
            <w:pStyle w:val="Heading2"/>
            <w:rPr>
              <w:rFonts w:ascii="Arial" w:hAnsi="Arial" w:cs="Arial"/>
            </w:rPr>
          </w:pPr>
          <w:r w:rsidRPr="005A6ADD">
            <w:rPr>
              <w:rFonts w:ascii="Arial" w:hAnsi="Arial" w:cs="Arial"/>
            </w:rPr>
            <w:t>Smoking policy</w:t>
          </w:r>
        </w:p>
        <w:p w14:paraId="77A2B565" w14:textId="27C3D3DD" w:rsidR="005A6ADD" w:rsidRPr="005A6ADD" w:rsidRDefault="005A6ADD" w:rsidP="005A6ADD">
          <w:pPr>
            <w:rPr>
              <w:rFonts w:ascii="Arial" w:hAnsi="Arial" w:cs="Arial"/>
            </w:rPr>
          </w:pPr>
          <w:r>
            <w:rPr>
              <w:rFonts w:ascii="Arial" w:hAnsi="Arial" w:cs="Arial"/>
            </w:rPr>
            <w:t>{Neighbourhood House}</w:t>
          </w:r>
          <w:r w:rsidRPr="005A6ADD">
            <w:rPr>
              <w:rFonts w:ascii="Arial" w:hAnsi="Arial" w:cs="Arial"/>
            </w:rPr>
            <w:t xml:space="preserve"> has a non-smoking policy. Smoking is not permitted on </w:t>
          </w:r>
          <w:r>
            <w:rPr>
              <w:rFonts w:ascii="Arial" w:hAnsi="Arial" w:cs="Arial"/>
            </w:rPr>
            <w:t>{Neighbourhood House}</w:t>
          </w:r>
          <w:r w:rsidRPr="005A6ADD">
            <w:rPr>
              <w:rFonts w:ascii="Arial" w:hAnsi="Arial" w:cs="Arial"/>
            </w:rPr>
            <w:t xml:space="preserve"> property or in offices at any time. </w:t>
          </w:r>
        </w:p>
        <w:p w14:paraId="3815DD4D" w14:textId="02F1C4C5" w:rsidR="005A6ADD" w:rsidRPr="005A6ADD" w:rsidRDefault="005A6ADD" w:rsidP="005A6ADD">
          <w:pPr>
            <w:rPr>
              <w:rFonts w:ascii="Arial" w:hAnsi="Arial" w:cs="Arial"/>
            </w:rPr>
          </w:pPr>
          <w:r w:rsidRPr="005A6ADD">
            <w:rPr>
              <w:rFonts w:ascii="Arial" w:hAnsi="Arial" w:cs="Arial"/>
            </w:rPr>
            <w:t xml:space="preserve">Smokers who need to take breaks should do so in their allotted breaks (no more than {X} per day in addition to their lunch break). These breaks must be limited to {X} minutes from leaving the workplace to recommencing work. These breaks must not be taken at the entrance to </w:t>
          </w:r>
          <w:r>
            <w:rPr>
              <w:rFonts w:ascii="Arial" w:hAnsi="Arial" w:cs="Arial"/>
            </w:rPr>
            <w:t>{Neighbourhood House}</w:t>
          </w:r>
          <w:r w:rsidRPr="005A6ADD">
            <w:rPr>
              <w:rFonts w:ascii="Arial" w:hAnsi="Arial" w:cs="Arial"/>
            </w:rPr>
            <w:t xml:space="preserve"> offices</w:t>
          </w:r>
          <w:r w:rsidRPr="005A6ADD">
            <w:rPr>
              <w:rFonts w:ascii="Arial" w:hAnsi="Arial" w:cs="Arial"/>
              <w:b/>
            </w:rPr>
            <w:t xml:space="preserve">. </w:t>
          </w:r>
          <w:r w:rsidRPr="005A6ADD">
            <w:rPr>
              <w:rFonts w:ascii="Arial" w:hAnsi="Arial" w:cs="Arial"/>
            </w:rPr>
            <w:t>Excessive smoking breaks will be regarded as absenteeism and performance improvement action may be taken.</w:t>
          </w:r>
        </w:p>
        <w:p w14:paraId="39D7A552" w14:textId="77777777" w:rsidR="005A6ADD" w:rsidRPr="005A6ADD" w:rsidRDefault="005A6ADD" w:rsidP="005A6ADD">
          <w:pPr>
            <w:pStyle w:val="Heading2"/>
            <w:rPr>
              <w:rFonts w:ascii="Arial" w:hAnsi="Arial" w:cs="Arial"/>
            </w:rPr>
          </w:pPr>
          <w:bookmarkStart w:id="22" w:name="_Toc131584571"/>
          <w:bookmarkStart w:id="23" w:name="_Toc131584645"/>
          <w:bookmarkStart w:id="24" w:name="_Toc131585111"/>
          <w:bookmarkStart w:id="25" w:name="_Toc131585482"/>
          <w:bookmarkStart w:id="26" w:name="_Toc131587785"/>
          <w:bookmarkStart w:id="27" w:name="_Toc131588175"/>
          <w:bookmarkStart w:id="28" w:name="_Toc183409706"/>
          <w:r w:rsidRPr="005A6ADD">
            <w:rPr>
              <w:rFonts w:ascii="Arial" w:hAnsi="Arial" w:cs="Arial"/>
            </w:rPr>
            <w:t>Alcohol and drugs</w:t>
          </w:r>
          <w:bookmarkEnd w:id="22"/>
          <w:bookmarkEnd w:id="23"/>
          <w:bookmarkEnd w:id="24"/>
          <w:bookmarkEnd w:id="25"/>
          <w:bookmarkEnd w:id="26"/>
          <w:bookmarkEnd w:id="27"/>
          <w:bookmarkEnd w:id="28"/>
          <w:r w:rsidRPr="005A6ADD">
            <w:rPr>
              <w:rFonts w:ascii="Arial" w:hAnsi="Arial" w:cs="Arial"/>
            </w:rPr>
            <w:t xml:space="preserve"> policy</w:t>
          </w:r>
        </w:p>
        <w:p w14:paraId="20EE062B" w14:textId="48FFFE0C" w:rsidR="005A6ADD" w:rsidRPr="005A6ADD" w:rsidRDefault="005A6ADD" w:rsidP="005A6ADD">
          <w:pPr>
            <w:rPr>
              <w:rFonts w:ascii="Arial" w:hAnsi="Arial" w:cs="Arial"/>
            </w:rPr>
          </w:pPr>
          <w:r>
            <w:rPr>
              <w:rFonts w:ascii="Arial" w:hAnsi="Arial" w:cs="Arial"/>
            </w:rPr>
            <w:t>{Neighbourhood House}</w:t>
          </w:r>
          <w:r w:rsidRPr="005A6ADD">
            <w:rPr>
              <w:rFonts w:ascii="Arial" w:hAnsi="Arial" w:cs="Arial"/>
            </w:rPr>
            <w:t xml:space="preserve"> is concerned by factors affecting an employee’s ability to safely and effectively do their work to a satisfactory standard. The business recognises alcohol or other drug abuse can impair short-term or long-term work performance and is an occupational health and safety risk.</w:t>
          </w:r>
        </w:p>
        <w:p w14:paraId="666F6F1E" w14:textId="50B6CD1D" w:rsidR="005A6ADD" w:rsidRPr="005A6ADD" w:rsidRDefault="005A6ADD" w:rsidP="005A6ADD">
          <w:pPr>
            <w:rPr>
              <w:rFonts w:ascii="Arial" w:hAnsi="Arial" w:cs="Arial"/>
            </w:rPr>
          </w:pPr>
          <w:r>
            <w:rPr>
              <w:rFonts w:ascii="Arial" w:hAnsi="Arial" w:cs="Arial"/>
            </w:rPr>
            <w:t>{Neighbourhood House}</w:t>
          </w:r>
          <w:r w:rsidRPr="005A6ADD">
            <w:rPr>
              <w:rFonts w:ascii="Arial" w:hAnsi="Arial" w:cs="Arial"/>
            </w:rPr>
            <w:t xml:space="preserve"> will do its utmost to create and maintain a safe, healthy and productive workplace for all employees. </w:t>
          </w:r>
          <w:r>
            <w:rPr>
              <w:rFonts w:ascii="Arial" w:hAnsi="Arial" w:cs="Arial"/>
            </w:rPr>
            <w:t>{Neighbourhood House}</w:t>
          </w:r>
          <w:r w:rsidRPr="005A6ADD">
            <w:rPr>
              <w:rFonts w:ascii="Arial" w:hAnsi="Arial" w:cs="Arial"/>
            </w:rPr>
            <w:t xml:space="preserve"> has a </w:t>
          </w:r>
          <w:proofErr w:type="gramStart"/>
          <w:r w:rsidRPr="005A6ADD">
            <w:rPr>
              <w:rFonts w:ascii="Arial" w:hAnsi="Arial" w:cs="Arial"/>
            </w:rPr>
            <w:t>zero tolerance</w:t>
          </w:r>
          <w:proofErr w:type="gramEnd"/>
          <w:r w:rsidRPr="005A6ADD">
            <w:rPr>
              <w:rFonts w:ascii="Arial" w:hAnsi="Arial" w:cs="Arial"/>
            </w:rPr>
            <w:t xml:space="preserve"> policy </w:t>
          </w:r>
          <w:proofErr w:type="gramStart"/>
          <w:r w:rsidRPr="005A6ADD">
            <w:rPr>
              <w:rFonts w:ascii="Arial" w:hAnsi="Arial" w:cs="Arial"/>
            </w:rPr>
            <w:t>in regards to</w:t>
          </w:r>
          <w:proofErr w:type="gramEnd"/>
          <w:r w:rsidRPr="005A6ADD">
            <w:rPr>
              <w:rFonts w:ascii="Arial" w:hAnsi="Arial" w:cs="Arial"/>
            </w:rPr>
            <w:t xml:space="preserve"> the use of illicit drugs on their premises or the attending of other </w:t>
          </w:r>
          <w:proofErr w:type="gramStart"/>
          <w:r w:rsidRPr="005A6ADD">
            <w:rPr>
              <w:rFonts w:ascii="Arial" w:hAnsi="Arial" w:cs="Arial"/>
            </w:rPr>
            <w:t>business related</w:t>
          </w:r>
          <w:proofErr w:type="gramEnd"/>
          <w:r w:rsidRPr="005A6ADD">
            <w:rPr>
              <w:rFonts w:ascii="Arial" w:hAnsi="Arial" w:cs="Arial"/>
            </w:rPr>
            <w:t xml:space="preserve"> premises (e.g. clients) while under the influence of illicit drugs. Contravening either of these points may lead to instant dismissal. </w:t>
          </w:r>
        </w:p>
        <w:p w14:paraId="5C06C762" w14:textId="77777777" w:rsidR="005A6ADD" w:rsidRPr="005A6ADD" w:rsidRDefault="005A6ADD" w:rsidP="005A6ADD">
          <w:pPr>
            <w:rPr>
              <w:rFonts w:ascii="Arial" w:hAnsi="Arial" w:cs="Arial"/>
            </w:rPr>
          </w:pPr>
        </w:p>
        <w:p w14:paraId="0B1BF39D" w14:textId="47F0B92A" w:rsidR="005A6ADD" w:rsidRPr="005A6ADD" w:rsidRDefault="005A6ADD" w:rsidP="005A6ADD">
          <w:pPr>
            <w:rPr>
              <w:rFonts w:ascii="Arial" w:hAnsi="Arial" w:cs="Arial"/>
            </w:rPr>
          </w:pPr>
          <w:r>
            <w:rPr>
              <w:rFonts w:ascii="Arial" w:hAnsi="Arial" w:cs="Arial"/>
            </w:rPr>
            <w:t>{Neighbourhood House}</w:t>
          </w:r>
          <w:r w:rsidRPr="005A6ADD">
            <w:rPr>
              <w:rFonts w:ascii="Arial" w:hAnsi="Arial" w:cs="Arial"/>
            </w:rPr>
            <w:t xml:space="preserve"> does not tolerate attending work under the influence of alcohol. This may result in performance improvement action or dismissal.</w:t>
          </w:r>
        </w:p>
        <w:p w14:paraId="031A2821" w14:textId="04867DD8" w:rsidR="00664E92" w:rsidRPr="008F2A8A" w:rsidRDefault="005A6ADD" w:rsidP="00C65E60">
          <w:pPr>
            <w:rPr>
              <w:rFonts w:ascii="Arial" w:hAnsi="Arial" w:cs="Arial"/>
              <w:szCs w:val="24"/>
              <w:lang w:eastAsia="en-AU"/>
            </w:rPr>
          </w:pPr>
          <w:r>
            <w:rPr>
              <w:rFonts w:ascii="Arial" w:hAnsi="Arial" w:cs="Arial"/>
            </w:rPr>
            <w:lastRenderedPageBreak/>
            <w:t>{Neighbourhood House}</w:t>
          </w:r>
          <w:r w:rsidRPr="005A6ADD">
            <w:rPr>
              <w:rFonts w:ascii="Arial" w:hAnsi="Arial" w:cs="Arial"/>
            </w:rPr>
            <w:t>, at times, makes alcohol available to staff over the age of 18. Limiting the consumption of any alcohol made available is the responsibility of the employee. Driving over the legal limit or under the influence of illicit drugs is illegal.</w:t>
          </w:r>
        </w:p>
      </w:sdtContent>
    </w:sdt>
    <w:bookmarkEnd w:id="0" w:displacedByCustomXml="prev"/>
    <w:sectPr w:rsidR="00664E92" w:rsidRPr="008F2A8A" w:rsidSect="007509C7">
      <w:footerReference w:type="default" r:id="rId14"/>
      <w:footerReference w:type="first" r:id="rId15"/>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BB1C" w14:textId="77777777" w:rsidR="006A32F3" w:rsidRDefault="006A32F3">
      <w:pPr>
        <w:spacing w:after="0" w:line="240" w:lineRule="auto"/>
      </w:pPr>
      <w:r>
        <w:separator/>
      </w:r>
    </w:p>
  </w:endnote>
  <w:endnote w:type="continuationSeparator" w:id="0">
    <w:p w14:paraId="51A106E7" w14:textId="77777777" w:rsidR="006A32F3" w:rsidRDefault="006A32F3">
      <w:pPr>
        <w:spacing w:after="0" w:line="240" w:lineRule="auto"/>
      </w:pPr>
      <w:r>
        <w:continuationSeparator/>
      </w:r>
    </w:p>
  </w:endnote>
  <w:endnote w:type="continuationNotice" w:id="1">
    <w:p w14:paraId="794CDC63" w14:textId="77777777" w:rsidR="006A32F3" w:rsidRDefault="006A3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D85E1"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w:t>
    </w:r>
    <w:proofErr w:type="gramStart"/>
    <w:r w:rsidRPr="008F2A8A">
      <w:rPr>
        <w:rFonts w:ascii="Arial" w:hAnsi="Arial" w:cs="Arial"/>
      </w:rPr>
      <w:t>1228  |</w:t>
    </w:r>
    <w:proofErr w:type="gramEnd"/>
    <w:r w:rsidRPr="008F2A8A">
      <w:rPr>
        <w:rFonts w:ascii="Arial" w:hAnsi="Arial" w:cs="Arial"/>
      </w:rPr>
      <w:t xml:space="preserve">  </w:t>
    </w:r>
    <w:proofErr w:type="gramStart"/>
    <w:r w:rsidRPr="008F2A8A">
      <w:rPr>
        <w:rFonts w:ascii="Arial" w:hAnsi="Arial" w:cs="Arial"/>
      </w:rPr>
      <w:t>info@nhvic.org.au  |</w:t>
    </w:r>
    <w:proofErr w:type="gramEnd"/>
    <w:r w:rsidRPr="008F2A8A">
      <w:rPr>
        <w:rFonts w:ascii="Arial" w:hAnsi="Arial" w:cs="Arial"/>
      </w:rPr>
      <w:t xml:space="preserve">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w:t>
    </w:r>
    <w:proofErr w:type="gramStart"/>
    <w:r w:rsidRPr="008F2A8A">
      <w:rPr>
        <w:rFonts w:ascii="Arial" w:hAnsi="Arial" w:cs="Arial"/>
      </w:rPr>
      <w:t>L  ABN</w:t>
    </w:r>
    <w:proofErr w:type="gramEnd"/>
    <w:r w:rsidRPr="008F2A8A">
      <w:rPr>
        <w:rFonts w:ascii="Arial" w:hAnsi="Arial" w:cs="Arial"/>
      </w:rPr>
      <w:t xml:space="preserve">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F04E" w14:textId="77777777" w:rsidR="006A32F3" w:rsidRDefault="006A32F3">
      <w:pPr>
        <w:spacing w:after="0" w:line="240" w:lineRule="auto"/>
      </w:pPr>
      <w:r>
        <w:separator/>
      </w:r>
    </w:p>
  </w:footnote>
  <w:footnote w:type="continuationSeparator" w:id="0">
    <w:p w14:paraId="170CB326" w14:textId="77777777" w:rsidR="006A32F3" w:rsidRDefault="006A32F3">
      <w:pPr>
        <w:spacing w:after="0" w:line="240" w:lineRule="auto"/>
      </w:pPr>
      <w:r>
        <w:continuationSeparator/>
      </w:r>
    </w:p>
  </w:footnote>
  <w:footnote w:type="continuationNotice" w:id="1">
    <w:p w14:paraId="358CEDAB" w14:textId="77777777" w:rsidR="006A32F3" w:rsidRDefault="006A32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906D5"/>
    <w:multiLevelType w:val="hybridMultilevel"/>
    <w:tmpl w:val="710A2E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94E4E"/>
    <w:multiLevelType w:val="hybridMultilevel"/>
    <w:tmpl w:val="A118C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8528F3"/>
    <w:multiLevelType w:val="hybridMultilevel"/>
    <w:tmpl w:val="41FAA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7"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8924FD"/>
    <w:multiLevelType w:val="hybridMultilevel"/>
    <w:tmpl w:val="7494A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5E843FE"/>
    <w:multiLevelType w:val="hybridMultilevel"/>
    <w:tmpl w:val="696269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9E844E5"/>
    <w:multiLevelType w:val="hybridMultilevel"/>
    <w:tmpl w:val="8F0E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7A1065"/>
    <w:multiLevelType w:val="hybridMultilevel"/>
    <w:tmpl w:val="537A0A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C13085"/>
    <w:multiLevelType w:val="hybridMultilevel"/>
    <w:tmpl w:val="42F8A9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562682">
    <w:abstractNumId w:val="34"/>
  </w:num>
  <w:num w:numId="2" w16cid:durableId="825826344">
    <w:abstractNumId w:val="43"/>
  </w:num>
  <w:num w:numId="3" w16cid:durableId="2127767176">
    <w:abstractNumId w:val="19"/>
  </w:num>
  <w:num w:numId="4" w16cid:durableId="1627158002">
    <w:abstractNumId w:val="41"/>
  </w:num>
  <w:num w:numId="5" w16cid:durableId="937719007">
    <w:abstractNumId w:val="26"/>
  </w:num>
  <w:num w:numId="6" w16cid:durableId="72313043">
    <w:abstractNumId w:val="31"/>
  </w:num>
  <w:num w:numId="7" w16cid:durableId="2044014247">
    <w:abstractNumId w:val="33"/>
  </w:num>
  <w:num w:numId="8" w16cid:durableId="1239048802">
    <w:abstractNumId w:val="11"/>
  </w:num>
  <w:num w:numId="9" w16cid:durableId="1067148221">
    <w:abstractNumId w:val="12"/>
  </w:num>
  <w:num w:numId="10" w16cid:durableId="1842231377">
    <w:abstractNumId w:val="32"/>
  </w:num>
  <w:num w:numId="11" w16cid:durableId="1497500737">
    <w:abstractNumId w:val="27"/>
  </w:num>
  <w:num w:numId="12" w16cid:durableId="773283843">
    <w:abstractNumId w:val="17"/>
  </w:num>
  <w:num w:numId="13" w16cid:durableId="840237164">
    <w:abstractNumId w:val="40"/>
  </w:num>
  <w:num w:numId="14" w16cid:durableId="529077648">
    <w:abstractNumId w:val="29"/>
  </w:num>
  <w:num w:numId="15" w16cid:durableId="1691489548">
    <w:abstractNumId w:val="14"/>
  </w:num>
  <w:num w:numId="16" w16cid:durableId="354045103">
    <w:abstractNumId w:val="24"/>
  </w:num>
  <w:num w:numId="17" w16cid:durableId="672759031">
    <w:abstractNumId w:val="21"/>
  </w:num>
  <w:num w:numId="18" w16cid:durableId="1451587320">
    <w:abstractNumId w:val="39"/>
  </w:num>
  <w:num w:numId="19" w16cid:durableId="1494444649">
    <w:abstractNumId w:val="42"/>
  </w:num>
  <w:num w:numId="20" w16cid:durableId="1867056380">
    <w:abstractNumId w:val="18"/>
  </w:num>
  <w:num w:numId="21" w16cid:durableId="1595898115">
    <w:abstractNumId w:val="16"/>
  </w:num>
  <w:num w:numId="22" w16cid:durableId="124275260">
    <w:abstractNumId w:val="44"/>
  </w:num>
  <w:num w:numId="23" w16cid:durableId="1387221285">
    <w:abstractNumId w:val="35"/>
  </w:num>
  <w:num w:numId="24" w16cid:durableId="2078168665">
    <w:abstractNumId w:val="45"/>
  </w:num>
  <w:num w:numId="25" w16cid:durableId="129400397">
    <w:abstractNumId w:val="36"/>
  </w:num>
  <w:num w:numId="26" w16cid:durableId="1488519375">
    <w:abstractNumId w:val="22"/>
  </w:num>
  <w:num w:numId="27" w16cid:durableId="168106531">
    <w:abstractNumId w:val="38"/>
  </w:num>
  <w:num w:numId="28" w16cid:durableId="717045904">
    <w:abstractNumId w:val="30"/>
  </w:num>
  <w:num w:numId="29" w16cid:durableId="874273509">
    <w:abstractNumId w:val="9"/>
  </w:num>
  <w:num w:numId="30" w16cid:durableId="1227835691">
    <w:abstractNumId w:val="7"/>
  </w:num>
  <w:num w:numId="31" w16cid:durableId="313532298">
    <w:abstractNumId w:val="6"/>
  </w:num>
  <w:num w:numId="32" w16cid:durableId="1123813094">
    <w:abstractNumId w:val="5"/>
  </w:num>
  <w:num w:numId="33" w16cid:durableId="1745643173">
    <w:abstractNumId w:val="4"/>
  </w:num>
  <w:num w:numId="34" w16cid:durableId="1715613814">
    <w:abstractNumId w:val="8"/>
  </w:num>
  <w:num w:numId="35" w16cid:durableId="1660228777">
    <w:abstractNumId w:val="3"/>
  </w:num>
  <w:num w:numId="36" w16cid:durableId="351731842">
    <w:abstractNumId w:val="2"/>
  </w:num>
  <w:num w:numId="37" w16cid:durableId="1103962684">
    <w:abstractNumId w:val="1"/>
  </w:num>
  <w:num w:numId="38" w16cid:durableId="191188121">
    <w:abstractNumId w:val="0"/>
  </w:num>
  <w:num w:numId="39" w16cid:durableId="321009834">
    <w:abstractNumId w:val="20"/>
  </w:num>
  <w:num w:numId="40" w16cid:durableId="1165825117">
    <w:abstractNumId w:val="15"/>
  </w:num>
  <w:num w:numId="41" w16cid:durableId="1451126694">
    <w:abstractNumId w:val="25"/>
  </w:num>
  <w:num w:numId="42" w16cid:durableId="1362365012">
    <w:abstractNumId w:val="13"/>
  </w:num>
  <w:num w:numId="43" w16cid:durableId="1185823671">
    <w:abstractNumId w:val="28"/>
  </w:num>
  <w:num w:numId="44" w16cid:durableId="1702392894">
    <w:abstractNumId w:val="23"/>
  </w:num>
  <w:num w:numId="45" w16cid:durableId="496658094">
    <w:abstractNumId w:val="37"/>
  </w:num>
  <w:num w:numId="46" w16cid:durableId="1787043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51F1F"/>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D21F9"/>
    <w:rsid w:val="002D3243"/>
    <w:rsid w:val="002D3ECD"/>
    <w:rsid w:val="002E0C7D"/>
    <w:rsid w:val="002E13A5"/>
    <w:rsid w:val="002E20A6"/>
    <w:rsid w:val="002E3BEA"/>
    <w:rsid w:val="002E66FE"/>
    <w:rsid w:val="002F08B1"/>
    <w:rsid w:val="002F0C7E"/>
    <w:rsid w:val="002F31A3"/>
    <w:rsid w:val="002F4878"/>
    <w:rsid w:val="002F5446"/>
    <w:rsid w:val="002F597E"/>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23481"/>
    <w:rsid w:val="00525E03"/>
    <w:rsid w:val="005279B0"/>
    <w:rsid w:val="005302C1"/>
    <w:rsid w:val="0053480E"/>
    <w:rsid w:val="00535978"/>
    <w:rsid w:val="005366FB"/>
    <w:rsid w:val="00537AF2"/>
    <w:rsid w:val="00540E71"/>
    <w:rsid w:val="005432F8"/>
    <w:rsid w:val="005476E0"/>
    <w:rsid w:val="005546E7"/>
    <w:rsid w:val="00554B3F"/>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A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2F3"/>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90A4D"/>
    <w:rsid w:val="00893C67"/>
    <w:rsid w:val="00893CE1"/>
    <w:rsid w:val="0089434C"/>
    <w:rsid w:val="008972E9"/>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5CA4"/>
    <w:rsid w:val="00D661A8"/>
    <w:rsid w:val="00D66E1A"/>
    <w:rsid w:val="00D67AA9"/>
    <w:rsid w:val="00D702CA"/>
    <w:rsid w:val="00D74EF1"/>
    <w:rsid w:val="00D77627"/>
    <w:rsid w:val="00D80E93"/>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1C00"/>
    <w:rsid w:val="00DF590D"/>
    <w:rsid w:val="00DF7330"/>
    <w:rsid w:val="00E007BE"/>
    <w:rsid w:val="00E06B07"/>
    <w:rsid w:val="00E074AF"/>
    <w:rsid w:val="00E11814"/>
    <w:rsid w:val="00E11FA0"/>
    <w:rsid w:val="00E138A6"/>
    <w:rsid w:val="00E14183"/>
    <w:rsid w:val="00E14AC6"/>
    <w:rsid w:val="00E22248"/>
    <w:rsid w:val="00E222B9"/>
    <w:rsid w:val="00E22E52"/>
    <w:rsid w:val="00E235B7"/>
    <w:rsid w:val="00E24F89"/>
    <w:rsid w:val="00E2519C"/>
    <w:rsid w:val="00E261EE"/>
    <w:rsid w:val="00E30D58"/>
    <w:rsid w:val="00E3470E"/>
    <w:rsid w:val="00E3571B"/>
    <w:rsid w:val="00E41F79"/>
    <w:rsid w:val="00E423B0"/>
    <w:rsid w:val="00E4720B"/>
    <w:rsid w:val="00E52C8C"/>
    <w:rsid w:val="00E53264"/>
    <w:rsid w:val="00E536A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704E0"/>
    <w:rsid w:val="00F70978"/>
    <w:rsid w:val="00F71610"/>
    <w:rsid w:val="00F7392C"/>
    <w:rsid w:val="00F81A27"/>
    <w:rsid w:val="00F83239"/>
    <w:rsid w:val="00F83260"/>
    <w:rsid w:val="00F90414"/>
    <w:rsid w:val="00F9693C"/>
    <w:rsid w:val="00FA4A38"/>
    <w:rsid w:val="00FA5582"/>
    <w:rsid w:val="00FA7E56"/>
    <w:rsid w:val="00FB02E6"/>
    <w:rsid w:val="00FB0C58"/>
    <w:rsid w:val="00FB2301"/>
    <w:rsid w:val="00FB271C"/>
    <w:rsid w:val="00FB66EE"/>
    <w:rsid w:val="00FB7AC2"/>
    <w:rsid w:val="00FC1824"/>
    <w:rsid w:val="00FC41A4"/>
    <w:rsid w:val="00FC4568"/>
    <w:rsid w:val="00FC7758"/>
    <w:rsid w:val="00FD2483"/>
    <w:rsid w:val="00FD2812"/>
    <w:rsid w:val="00FD4C31"/>
    <w:rsid w:val="00FD4F5E"/>
    <w:rsid w:val="00FD7A6A"/>
    <w:rsid w:val="00FE4419"/>
    <w:rsid w:val="00FE482E"/>
    <w:rsid w:val="00FE6512"/>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2F4878"/>
    <w:pPr>
      <w:keepNext/>
      <w:keepLines/>
      <w:spacing w:before="24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2F4878"/>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 w:type="paragraph" w:customStyle="1" w:styleId="Guidance">
    <w:name w:val="Guidance"/>
    <w:basedOn w:val="Normal"/>
    <w:qFormat/>
    <w:rsid w:val="005A6ADD"/>
    <w:pPr>
      <w:spacing w:before="120" w:after="0" w:line="360" w:lineRule="auto"/>
    </w:pPr>
    <w:rPr>
      <w:rFonts w:ascii="Arial" w:eastAsia="Times New Roman" w:hAnsi="Arial" w:cs="Times New Roman"/>
      <w:color w:val="1F4E79"/>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orksafe.vic.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nhvic.sharepoint.com/Resources/Board/Polices%20and%20Procedures/NHVic%20Policy%20template%20May202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3.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4.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5.xml><?xml version="1.0" encoding="utf-8"?>
<ds:datastoreItem xmlns:ds="http://schemas.openxmlformats.org/officeDocument/2006/customXml" ds:itemID="{8AA9BBAF-2A1F-4D95-901E-4FFB9D2C6CBC}">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NHVic%20Policy%20template%20May2020</Template>
  <TotalTime>2</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May 2018</dc:subject>
  <dc:creator>Brittany Prentice</dc:creator>
  <cp:lastModifiedBy>Brittany Prentice</cp:lastModifiedBy>
  <cp:revision>4</cp:revision>
  <cp:lastPrinted>2018-08-29T18:35:00Z</cp:lastPrinted>
  <dcterms:created xsi:type="dcterms:W3CDTF">2025-06-12T05:03:00Z</dcterms:created>
  <dcterms:modified xsi:type="dcterms:W3CDTF">2025-06-12T05:05:00Z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