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bCs/>
          <w:color w:val="000000" w:themeColor="text1"/>
          <w:sz w:val="44"/>
          <w:szCs w:val="24"/>
        </w:rPr>
        <w:id w:val="154042960"/>
        <w:docPartObj>
          <w:docPartGallery w:val="Cover Pages"/>
          <w:docPartUnique/>
        </w:docPartObj>
      </w:sdtPr>
      <w:sdtEndPr>
        <w:rPr>
          <w:rFonts w:eastAsiaTheme="minorEastAsia"/>
          <w:bCs w:val="0"/>
          <w:color w:val="auto"/>
          <w:sz w:val="24"/>
          <w:szCs w:val="22"/>
        </w:rPr>
      </w:sdtEndPr>
      <w:sdtContent>
        <w:p w14:paraId="7BC53C81" w14:textId="0DAEC3AA" w:rsidR="00B91A11" w:rsidRPr="00B22533" w:rsidRDefault="00B22533" w:rsidP="006D75BA">
          <w:pPr>
            <w:tabs>
              <w:tab w:val="left" w:pos="1005"/>
            </w:tabs>
            <w:rPr>
              <w:rFonts w:ascii="Arial" w:hAnsi="Arial" w:cs="Arial"/>
              <w:color w:val="000000" w:themeColor="text1"/>
              <w:sz w:val="36"/>
            </w:rPr>
          </w:pPr>
          <w:r>
            <w:rPr>
              <w:rFonts w:ascii="Arial" w:eastAsiaTheme="majorEastAsia" w:hAnsi="Arial" w:cs="Arial"/>
              <w:noProof/>
              <w:color w:val="000000" w:themeColor="text1"/>
              <w:spacing w:val="5"/>
              <w:kern w:val="28"/>
              <w:sz w:val="96"/>
              <w:szCs w:val="56"/>
              <w:lang w:val="en-AU" w:eastAsia="en-AU"/>
            </w:rPr>
            <w:drawing>
              <wp:anchor distT="0" distB="0" distL="114300" distR="114300" simplePos="0" relativeHeight="251658752" behindDoc="0" locked="0" layoutInCell="1" allowOverlap="1" wp14:anchorId="04951A31" wp14:editId="35E845C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25500" cy="875665"/>
                <wp:effectExtent l="0" t="0" r="0" b="635"/>
                <wp:wrapSquare wrapText="bothSides"/>
                <wp:docPr id="182244181" name="Picture 5" descr="A heart in a hous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244181" name="Picture 5" descr="A heart in a house&#10;&#10;AI-generated content may be incorrect.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75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05DC" w:rsidRPr="00B22533">
            <w:rPr>
              <w:rFonts w:ascii="Arial" w:eastAsiaTheme="majorEastAsia" w:hAnsi="Arial" w:cs="Arial"/>
              <w:noProof/>
              <w:color w:val="000000" w:themeColor="text1"/>
              <w:spacing w:val="5"/>
              <w:kern w:val="28"/>
              <w:sz w:val="96"/>
              <w:szCs w:val="56"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9971E2A" wp14:editId="6B1CCEFB">
                    <wp:simplePos x="0" y="0"/>
                    <wp:positionH relativeFrom="column">
                      <wp:posOffset>6286500</wp:posOffset>
                    </wp:positionH>
                    <wp:positionV relativeFrom="paragraph">
                      <wp:posOffset>-76200</wp:posOffset>
                    </wp:positionV>
                    <wp:extent cx="438150" cy="381000"/>
                    <wp:effectExtent l="0" t="0" r="0" b="0"/>
                    <wp:wrapNone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815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15DCBBC" id="Rectangle 11" o:spid="_x0000_s1026" style="position:absolute;margin-left:495pt;margin-top:-6pt;width:34.5pt;height:3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" fillcolor="white [3212]" stroked="f" strokeweight="2.25pt"/>
                </w:pict>
              </mc:Fallback>
            </mc:AlternateContent>
          </w:r>
        </w:p>
        <w:p w14:paraId="6D5A6616" w14:textId="77777777" w:rsidR="008E493E" w:rsidRPr="00B22533" w:rsidRDefault="008E493E" w:rsidP="00E14183">
          <w:pPr>
            <w:rPr>
              <w:rFonts w:ascii="Arial" w:hAnsi="Arial" w:cs="Arial"/>
              <w:color w:val="000000" w:themeColor="text1"/>
              <w:sz w:val="28"/>
              <w:lang w:val="en-AU"/>
            </w:rPr>
          </w:pPr>
          <w:r w:rsidRPr="00962F0D">
            <w:rPr>
              <w:rFonts w:ascii="Arial" w:hAnsi="Arial" w:cs="Arial"/>
              <w:color w:val="000000" w:themeColor="text1"/>
              <w:sz w:val="28"/>
            </w:rPr>
            <w:t>(</w:t>
          </w:r>
          <w:proofErr w:type="spellStart"/>
          <w:r w:rsidRPr="00962F0D">
            <w:rPr>
              <w:rFonts w:ascii="Arial" w:hAnsi="Arial" w:cs="Arial"/>
              <w:color w:val="000000" w:themeColor="text1"/>
              <w:sz w:val="28"/>
            </w:rPr>
            <w:t>Localtown</w:t>
          </w:r>
          <w:proofErr w:type="spellEnd"/>
          <w:r w:rsidRPr="00962F0D">
            <w:rPr>
              <w:rFonts w:ascii="Arial" w:hAnsi="Arial" w:cs="Arial"/>
              <w:color w:val="000000" w:themeColor="text1"/>
              <w:sz w:val="28"/>
            </w:rPr>
            <w:t xml:space="preserve"> </w:t>
          </w:r>
          <w:r w:rsidR="006D75BA" w:rsidRPr="00962F0D">
            <w:rPr>
              <w:rFonts w:ascii="Arial" w:hAnsi="Arial" w:cs="Arial"/>
              <w:color w:val="000000" w:themeColor="text1"/>
              <w:sz w:val="28"/>
            </w:rPr>
            <w:t>Neighbourhood House</w:t>
          </w:r>
          <w:r w:rsidR="006D75BA" w:rsidRPr="00962F0D">
            <w:rPr>
              <w:rFonts w:ascii="Arial" w:hAnsi="Arial" w:cs="Arial"/>
              <w:color w:val="000000" w:themeColor="text1"/>
              <w:sz w:val="28"/>
              <w:lang w:val="en-AU"/>
            </w:rPr>
            <w:t>)</w:t>
          </w:r>
          <w:r w:rsidRPr="00B22533">
            <w:rPr>
              <w:rFonts w:ascii="Arial" w:hAnsi="Arial" w:cs="Arial"/>
              <w:color w:val="000000" w:themeColor="text1"/>
              <w:sz w:val="28"/>
              <w:lang w:val="en-AU"/>
            </w:rPr>
            <w:t xml:space="preserve"> </w:t>
          </w:r>
        </w:p>
        <w:p w14:paraId="3EEE582A" w14:textId="4F4075E3" w:rsidR="004214F0" w:rsidRPr="00B22533" w:rsidRDefault="00396BAB" w:rsidP="00F43648">
          <w:pPr>
            <w:pStyle w:val="Heading1"/>
            <w:rPr>
              <w:rFonts w:ascii="Arial" w:hAnsi="Arial" w:cs="Arial"/>
              <w:color w:val="auto"/>
            </w:rPr>
          </w:pPr>
          <w:r w:rsidRPr="00B22533">
            <w:rPr>
              <w:rFonts w:ascii="Arial" w:hAnsi="Arial" w:cs="Arial"/>
              <w:color w:val="auto"/>
            </w:rPr>
            <w:t>Sample Banking Policy</w:t>
          </w:r>
        </w:p>
        <w:p w14:paraId="4AF2E478" w14:textId="1CD7FB3D" w:rsidR="00B91A11" w:rsidRPr="00B22533" w:rsidRDefault="00B91A11" w:rsidP="00F43648">
          <w:pPr>
            <w:pStyle w:val="Heading2"/>
            <w:rPr>
              <w:rFonts w:ascii="Arial" w:hAnsi="Arial" w:cs="Arial"/>
            </w:rPr>
          </w:pPr>
          <w:r w:rsidRPr="00B22533">
            <w:rPr>
              <w:rFonts w:ascii="Arial" w:hAnsi="Arial" w:cs="Arial"/>
            </w:rPr>
            <w:t>Document Control</w:t>
          </w:r>
        </w:p>
        <w:tbl>
          <w:tblPr>
            <w:tblStyle w:val="TableGrid"/>
            <w:tblW w:w="0" w:type="auto"/>
            <w:tbl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  <w:insideH w:val="single" w:sz="8" w:space="0" w:color="404040" w:themeColor="text1" w:themeTint="BF"/>
              <w:insideV w:val="single" w:sz="8" w:space="0" w:color="404040" w:themeColor="text1" w:themeTint="BF"/>
            </w:tblBorders>
            <w:tblLook w:val="04A0" w:firstRow="1" w:lastRow="0" w:firstColumn="1" w:lastColumn="0" w:noHBand="0" w:noVBand="1"/>
          </w:tblPr>
          <w:tblGrid>
            <w:gridCol w:w="2517"/>
            <w:gridCol w:w="2518"/>
            <w:gridCol w:w="2517"/>
            <w:gridCol w:w="2518"/>
          </w:tblGrid>
          <w:tr w:rsidR="00B91A11" w:rsidRPr="00B22533" w14:paraId="0045253A" w14:textId="77777777" w:rsidTr="00340D61">
            <w:trPr>
              <w:trHeight w:val="510"/>
            </w:trPr>
            <w:tc>
              <w:tcPr>
                <w:tcW w:w="2517" w:type="dxa"/>
                <w:tcBorders>
                  <w:left w:val="single" w:sz="4" w:space="0" w:color="auto"/>
                </w:tcBorders>
                <w:vAlign w:val="center"/>
              </w:tcPr>
              <w:p w14:paraId="78EC6A46" w14:textId="2683DFB5" w:rsidR="002D3ECD" w:rsidRPr="00B22533" w:rsidRDefault="002D3ECD" w:rsidP="00F44750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B22533">
                  <w:rPr>
                    <w:rFonts w:ascii="Arial" w:hAnsi="Arial" w:cs="Arial"/>
                    <w:b/>
                    <w:color w:val="000000" w:themeColor="text1"/>
                  </w:rPr>
                  <w:t>Policy Title:</w:t>
                </w:r>
              </w:p>
            </w:tc>
            <w:tc>
              <w:tcPr>
                <w:tcW w:w="7553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20B5FA04" w14:textId="62D8A991" w:rsidR="002D3ECD" w:rsidRPr="00B22533" w:rsidRDefault="00396BAB" w:rsidP="00F4475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B22533">
                  <w:rPr>
                    <w:rFonts w:ascii="Arial" w:hAnsi="Arial" w:cs="Arial"/>
                    <w:color w:val="000000" w:themeColor="text1"/>
                  </w:rPr>
                  <w:t>Banking Policy</w:t>
                </w:r>
              </w:p>
            </w:tc>
          </w:tr>
          <w:tr w:rsidR="00214AAE" w:rsidRPr="00B22533" w14:paraId="12E525BF" w14:textId="77777777" w:rsidTr="00340D61">
            <w:trPr>
              <w:trHeight w:val="510"/>
            </w:trPr>
            <w:tc>
              <w:tcPr>
                <w:tcW w:w="2517" w:type="dxa"/>
                <w:tcBorders>
                  <w:left w:val="single" w:sz="4" w:space="0" w:color="auto"/>
                </w:tcBorders>
                <w:vAlign w:val="center"/>
              </w:tcPr>
              <w:p w14:paraId="7E1269FA" w14:textId="69093BD4" w:rsidR="00214AAE" w:rsidRPr="00B22533" w:rsidRDefault="00214AAE" w:rsidP="00F44750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B22533">
                  <w:rPr>
                    <w:rFonts w:ascii="Arial" w:hAnsi="Arial" w:cs="Arial"/>
                    <w:b/>
                    <w:color w:val="000000" w:themeColor="text1"/>
                  </w:rPr>
                  <w:t>Version Number:</w:t>
                </w:r>
              </w:p>
            </w:tc>
            <w:tc>
              <w:tcPr>
                <w:tcW w:w="7553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7C9C4A8E" w14:textId="3C255E3F" w:rsidR="00214AAE" w:rsidRPr="00B22533" w:rsidRDefault="00214AAE" w:rsidP="00F44750">
                <w:pPr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B91A11" w:rsidRPr="00B22533" w14:paraId="62F85B7C" w14:textId="77777777" w:rsidTr="00340D61">
            <w:trPr>
              <w:trHeight w:val="510"/>
            </w:trPr>
            <w:tc>
              <w:tcPr>
                <w:tcW w:w="2517" w:type="dxa"/>
                <w:tcBorders>
                  <w:left w:val="single" w:sz="4" w:space="0" w:color="auto"/>
                </w:tcBorders>
                <w:vAlign w:val="center"/>
              </w:tcPr>
              <w:p w14:paraId="32B11FC5" w14:textId="6A32DA8C" w:rsidR="002D3ECD" w:rsidRPr="00B22533" w:rsidRDefault="002D3ECD" w:rsidP="00F44750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B22533">
                  <w:rPr>
                    <w:rFonts w:ascii="Arial" w:hAnsi="Arial" w:cs="Arial"/>
                    <w:b/>
                    <w:color w:val="000000" w:themeColor="text1"/>
                  </w:rPr>
                  <w:t>Date Ratified:</w:t>
                </w:r>
              </w:p>
            </w:tc>
            <w:tc>
              <w:tcPr>
                <w:tcW w:w="2518" w:type="dxa"/>
                <w:vAlign w:val="center"/>
              </w:tcPr>
              <w:p w14:paraId="7BE5C31C" w14:textId="54A75693" w:rsidR="002D3ECD" w:rsidRPr="00B22533" w:rsidRDefault="002D3ECD" w:rsidP="00F44750">
                <w:pPr>
                  <w:rPr>
                    <w:rFonts w:ascii="Arial" w:hAnsi="Arial" w:cs="Arial"/>
                    <w:color w:val="000000" w:themeColor="text1"/>
                  </w:rPr>
                </w:pPr>
              </w:p>
            </w:tc>
            <w:tc>
              <w:tcPr>
                <w:tcW w:w="2517" w:type="dxa"/>
                <w:vAlign w:val="center"/>
              </w:tcPr>
              <w:p w14:paraId="1F6D9069" w14:textId="4B0F4940" w:rsidR="002D3ECD" w:rsidRPr="00B22533" w:rsidRDefault="002D3ECD" w:rsidP="00F44750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B22533">
                  <w:rPr>
                    <w:rFonts w:ascii="Arial" w:hAnsi="Arial" w:cs="Arial"/>
                    <w:b/>
                    <w:color w:val="000000" w:themeColor="text1"/>
                  </w:rPr>
                  <w:t>Review Date:</w:t>
                </w:r>
              </w:p>
            </w:tc>
            <w:tc>
              <w:tcPr>
                <w:tcW w:w="2518" w:type="dxa"/>
                <w:tcBorders>
                  <w:right w:val="single" w:sz="4" w:space="0" w:color="auto"/>
                </w:tcBorders>
                <w:vAlign w:val="center"/>
              </w:tcPr>
              <w:p w14:paraId="387B0840" w14:textId="3B935D42" w:rsidR="002D3ECD" w:rsidRPr="00B22533" w:rsidRDefault="002D3ECD" w:rsidP="00F44750">
                <w:pPr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B91A11" w:rsidRPr="00B22533" w14:paraId="361FF79D" w14:textId="77777777" w:rsidTr="00016B57">
            <w:trPr>
              <w:trHeight w:val="510"/>
            </w:trPr>
            <w:tc>
              <w:tcPr>
                <w:tcW w:w="10070" w:type="dxa"/>
                <w:gridSpan w:val="4"/>
                <w:tcBorders>
                  <w:left w:val="nil"/>
                  <w:bottom w:val="single" w:sz="8" w:space="0" w:color="404040" w:themeColor="text1" w:themeTint="BF"/>
                  <w:right w:val="nil"/>
                </w:tcBorders>
                <w:vAlign w:val="center"/>
              </w:tcPr>
              <w:p w14:paraId="3FCE6B89" w14:textId="23385848" w:rsidR="002D3ECD" w:rsidRPr="00B22533" w:rsidRDefault="00F44750" w:rsidP="00B17438">
                <w:pPr>
                  <w:pStyle w:val="Heading2"/>
                  <w:rPr>
                    <w:rFonts w:ascii="Arial" w:hAnsi="Arial" w:cs="Arial"/>
                  </w:rPr>
                </w:pPr>
                <w:r w:rsidRPr="00B22533">
                  <w:rPr>
                    <w:rFonts w:ascii="Arial" w:hAnsi="Arial" w:cs="Arial"/>
                  </w:rPr>
                  <w:t>Relevant standards, legislation and other d</w:t>
                </w:r>
                <w:r w:rsidR="002D3ECD" w:rsidRPr="00B22533">
                  <w:rPr>
                    <w:rFonts w:ascii="Arial" w:hAnsi="Arial" w:cs="Arial"/>
                  </w:rPr>
                  <w:t>ocuments:</w:t>
                </w:r>
              </w:p>
              <w:p w14:paraId="5DEB0AA8" w14:textId="715DC735" w:rsidR="002D3ECD" w:rsidRPr="00B22533" w:rsidRDefault="00836A26" w:rsidP="00F44750">
                <w:pPr>
                  <w:pStyle w:val="ListParagraph"/>
                  <w:numPr>
                    <w:ilvl w:val="0"/>
                    <w:numId w:val="11"/>
                  </w:numPr>
                  <w:spacing w:after="0"/>
                  <w:rPr>
                    <w:rFonts w:ascii="Arial" w:hAnsi="Arial" w:cs="Arial"/>
                    <w:color w:val="000000" w:themeColor="text1"/>
                  </w:rPr>
                </w:pPr>
                <w:r w:rsidRPr="00B22533">
                  <w:rPr>
                    <w:rFonts w:ascii="Arial" w:hAnsi="Arial" w:cs="Arial"/>
                    <w:color w:val="000000" w:themeColor="text1"/>
                  </w:rPr>
                  <w:t>Bank Terms and Conditions</w:t>
                </w:r>
              </w:p>
              <w:p w14:paraId="5699AB16" w14:textId="77777777" w:rsidR="002D3ECD" w:rsidRPr="00B22533" w:rsidRDefault="002D3ECD" w:rsidP="00B17438">
                <w:pPr>
                  <w:ind w:left="360"/>
                  <w:rPr>
                    <w:rFonts w:ascii="Arial" w:hAnsi="Arial" w:cs="Arial"/>
                    <w:color w:val="000000" w:themeColor="text1"/>
                  </w:rPr>
                </w:pPr>
              </w:p>
              <w:p w14:paraId="188EB770" w14:textId="1225FE4E" w:rsidR="00B17438" w:rsidRPr="00B22533" w:rsidRDefault="00B17438" w:rsidP="00B17438">
                <w:pPr>
                  <w:ind w:left="360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B91A11" w:rsidRPr="00B22533" w14:paraId="291DA9E8" w14:textId="77777777" w:rsidTr="00016B57">
            <w:trPr>
              <w:trHeight w:val="510"/>
            </w:trPr>
            <w:tc>
              <w:tcPr>
                <w:tcW w:w="10070" w:type="dxa"/>
                <w:gridSpan w:val="4"/>
                <w:tcBorders>
                  <w:left w:val="single" w:sz="4" w:space="0" w:color="auto"/>
                  <w:bottom w:val="single" w:sz="8" w:space="0" w:color="404040" w:themeColor="text1" w:themeTint="BF"/>
                  <w:right w:val="single" w:sz="4" w:space="0" w:color="auto"/>
                </w:tcBorders>
                <w:vAlign w:val="center"/>
              </w:tcPr>
              <w:p w14:paraId="002BBDD1" w14:textId="4B1582E6" w:rsidR="00F44750" w:rsidRPr="00B22533" w:rsidRDefault="00F44750" w:rsidP="00F44750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B22533">
                  <w:rPr>
                    <w:rFonts w:ascii="Arial" w:hAnsi="Arial" w:cs="Arial"/>
                    <w:b/>
                    <w:color w:val="000000" w:themeColor="text1"/>
                  </w:rPr>
                  <w:t>Definitions</w:t>
                </w:r>
                <w:r w:rsidR="00016B57" w:rsidRPr="00B22533">
                  <w:rPr>
                    <w:rFonts w:ascii="Arial" w:hAnsi="Arial" w:cs="Arial"/>
                    <w:b/>
                    <w:color w:val="000000" w:themeColor="text1"/>
                  </w:rPr>
                  <w:t xml:space="preserve">: </w:t>
                </w:r>
                <w:r w:rsidR="00016B57" w:rsidRPr="00B22533">
                  <w:rPr>
                    <w:rFonts w:ascii="Arial" w:hAnsi="Arial" w:cs="Arial"/>
                    <w:color w:val="000000" w:themeColor="text1"/>
                  </w:rPr>
                  <w:t>(define key terms)</w:t>
                </w:r>
              </w:p>
            </w:tc>
          </w:tr>
          <w:tr w:rsidR="00B91A11" w:rsidRPr="00B22533" w14:paraId="64EA1B5D" w14:textId="77777777" w:rsidTr="00016B57">
            <w:trPr>
              <w:trHeight w:val="510"/>
            </w:trPr>
            <w:tc>
              <w:tcPr>
                <w:tcW w:w="2517" w:type="dxa"/>
                <w:tcBorders>
                  <w:left w:val="single" w:sz="4" w:space="0" w:color="auto"/>
                  <w:right w:val="single" w:sz="8" w:space="0" w:color="404040" w:themeColor="text1" w:themeTint="BF"/>
                </w:tcBorders>
                <w:vAlign w:val="center"/>
              </w:tcPr>
              <w:p w14:paraId="5785F89D" w14:textId="4097FD6D" w:rsidR="00F44750" w:rsidRPr="00B22533" w:rsidRDefault="00F44750" w:rsidP="00F44750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</w:p>
            </w:tc>
            <w:tc>
              <w:tcPr>
                <w:tcW w:w="7553" w:type="dxa"/>
                <w:gridSpan w:val="3"/>
                <w:tcBorders>
                  <w:left w:val="single" w:sz="8" w:space="0" w:color="404040" w:themeColor="text1" w:themeTint="BF"/>
                  <w:right w:val="single" w:sz="4" w:space="0" w:color="auto"/>
                </w:tcBorders>
                <w:vAlign w:val="center"/>
              </w:tcPr>
              <w:p w14:paraId="2847C8AB" w14:textId="438AD847" w:rsidR="00F44750" w:rsidRPr="00B22533" w:rsidRDefault="00F44750" w:rsidP="00F44750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</w:p>
            </w:tc>
          </w:tr>
          <w:tr w:rsidR="00B91A11" w:rsidRPr="00B22533" w14:paraId="3C1B81BA" w14:textId="77777777" w:rsidTr="00016B57">
            <w:trPr>
              <w:trHeight w:val="510"/>
            </w:trPr>
            <w:tc>
              <w:tcPr>
                <w:tcW w:w="2517" w:type="dxa"/>
                <w:tcBorders>
                  <w:left w:val="single" w:sz="4" w:space="0" w:color="auto"/>
                  <w:right w:val="single" w:sz="8" w:space="0" w:color="404040" w:themeColor="text1" w:themeTint="BF"/>
                </w:tcBorders>
                <w:vAlign w:val="center"/>
              </w:tcPr>
              <w:p w14:paraId="5758E3D7" w14:textId="77F607B2" w:rsidR="00F44750" w:rsidRPr="00B22533" w:rsidRDefault="00F44750" w:rsidP="00F44750">
                <w:pPr>
                  <w:rPr>
                    <w:rFonts w:ascii="Arial" w:hAnsi="Arial" w:cs="Arial"/>
                    <w:color w:val="000000" w:themeColor="text1"/>
                  </w:rPr>
                </w:pPr>
              </w:p>
            </w:tc>
            <w:tc>
              <w:tcPr>
                <w:tcW w:w="7553" w:type="dxa"/>
                <w:gridSpan w:val="3"/>
                <w:tcBorders>
                  <w:left w:val="single" w:sz="8" w:space="0" w:color="404040" w:themeColor="text1" w:themeTint="BF"/>
                  <w:right w:val="single" w:sz="4" w:space="0" w:color="auto"/>
                </w:tcBorders>
                <w:vAlign w:val="center"/>
              </w:tcPr>
              <w:p w14:paraId="0829868D" w14:textId="21E20C13" w:rsidR="00F44750" w:rsidRPr="00B22533" w:rsidRDefault="00F44750" w:rsidP="00F44750">
                <w:pPr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B91A11" w:rsidRPr="00B22533" w14:paraId="18B75184" w14:textId="77777777" w:rsidTr="00016B57">
            <w:trPr>
              <w:trHeight w:val="510"/>
            </w:trPr>
            <w:tc>
              <w:tcPr>
                <w:tcW w:w="2517" w:type="dxa"/>
                <w:tcBorders>
                  <w:left w:val="single" w:sz="4" w:space="0" w:color="auto"/>
                  <w:right w:val="single" w:sz="8" w:space="0" w:color="404040" w:themeColor="text1" w:themeTint="BF"/>
                </w:tcBorders>
                <w:vAlign w:val="center"/>
              </w:tcPr>
              <w:p w14:paraId="0974BAC4" w14:textId="66CF8454" w:rsidR="00F44750" w:rsidRPr="00B22533" w:rsidRDefault="00F44750" w:rsidP="00F44750">
                <w:pPr>
                  <w:rPr>
                    <w:rFonts w:ascii="Arial" w:hAnsi="Arial" w:cs="Arial"/>
                    <w:color w:val="000000" w:themeColor="text1"/>
                  </w:rPr>
                </w:pPr>
              </w:p>
            </w:tc>
            <w:tc>
              <w:tcPr>
                <w:tcW w:w="7553" w:type="dxa"/>
                <w:gridSpan w:val="3"/>
                <w:tcBorders>
                  <w:left w:val="single" w:sz="8" w:space="0" w:color="404040" w:themeColor="text1" w:themeTint="BF"/>
                  <w:right w:val="single" w:sz="4" w:space="0" w:color="auto"/>
                </w:tcBorders>
                <w:vAlign w:val="center"/>
              </w:tcPr>
              <w:p w14:paraId="5E2DA8F3" w14:textId="77777777" w:rsidR="00F44750" w:rsidRPr="00B22533" w:rsidRDefault="00F44750" w:rsidP="00F44750">
                <w:pPr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</w:tbl>
        <w:p w14:paraId="6888A270" w14:textId="7CF761E4" w:rsidR="0033436C" w:rsidRPr="00B22533" w:rsidRDefault="0033436C" w:rsidP="00F43648">
          <w:pPr>
            <w:pStyle w:val="Heading2"/>
            <w:rPr>
              <w:rFonts w:ascii="Arial" w:hAnsi="Arial" w:cs="Arial"/>
            </w:rPr>
          </w:pPr>
          <w:bookmarkStart w:id="0" w:name="_Toc523148719"/>
          <w:r w:rsidRPr="00B22533">
            <w:rPr>
              <w:rFonts w:ascii="Arial" w:hAnsi="Arial" w:cs="Arial"/>
            </w:rPr>
            <w:lastRenderedPageBreak/>
            <w:t xml:space="preserve">Policy </w:t>
          </w:r>
          <w:r w:rsidR="003435DE" w:rsidRPr="00B22533">
            <w:rPr>
              <w:rFonts w:ascii="Arial" w:hAnsi="Arial" w:cs="Arial"/>
            </w:rPr>
            <w:t>Description</w:t>
          </w:r>
        </w:p>
        <w:p w14:paraId="212C9DE7" w14:textId="279ADE68" w:rsidR="00977BEB" w:rsidRPr="00B22533" w:rsidRDefault="00977BEB" w:rsidP="00F43648">
          <w:pPr>
            <w:pStyle w:val="Heading2"/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</w:pPr>
          <w:r w:rsidRPr="00B22533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 xml:space="preserve">This policy sets out the requirements for use of bank accounts, including opening, closing </w:t>
          </w:r>
          <w:proofErr w:type="spellStart"/>
          <w:r w:rsidRPr="00B22533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>authorisation</w:t>
          </w:r>
          <w:proofErr w:type="spellEnd"/>
          <w:r w:rsidRPr="00B22533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>, variations to terms and conditions, reconciliation of bank accounts and bank account transactions</w:t>
          </w:r>
          <w:r w:rsidR="00CD08E0" w:rsidRPr="00B22533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 xml:space="preserve">. </w:t>
          </w:r>
          <w:r w:rsidR="00B869BE" w:rsidRPr="00B22533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 xml:space="preserve">Where ever possible the </w:t>
          </w:r>
          <w:proofErr w:type="spellStart"/>
          <w:r w:rsidR="00B869BE" w:rsidRPr="00B22533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>organi</w:t>
          </w:r>
          <w:r w:rsidR="006C54CA" w:rsidRPr="00B22533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>s</w:t>
          </w:r>
          <w:r w:rsidR="00B869BE" w:rsidRPr="00B22533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>ation</w:t>
          </w:r>
          <w:r w:rsidR="006C54CA" w:rsidRPr="00B22533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>’</w:t>
          </w:r>
          <w:r w:rsidR="00B869BE" w:rsidRPr="00B22533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>s</w:t>
          </w:r>
          <w:proofErr w:type="spellEnd"/>
          <w:r w:rsidR="006C54CA" w:rsidRPr="00B22533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 xml:space="preserve"> </w:t>
          </w:r>
          <w:r w:rsidR="00B869BE" w:rsidRPr="00B22533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 xml:space="preserve">banking is to be conducted online. </w:t>
          </w:r>
        </w:p>
        <w:p w14:paraId="4FEDEFD2" w14:textId="1D13E290" w:rsidR="004214F0" w:rsidRPr="00B22533" w:rsidRDefault="004214F0" w:rsidP="00F43648">
          <w:pPr>
            <w:pStyle w:val="Heading2"/>
            <w:rPr>
              <w:rFonts w:ascii="Arial" w:hAnsi="Arial" w:cs="Arial"/>
            </w:rPr>
          </w:pPr>
          <w:r w:rsidRPr="00B22533">
            <w:rPr>
              <w:rFonts w:ascii="Arial" w:hAnsi="Arial" w:cs="Arial"/>
            </w:rPr>
            <w:t xml:space="preserve">Policy </w:t>
          </w:r>
          <w:r w:rsidR="009221FC" w:rsidRPr="00B22533">
            <w:rPr>
              <w:rFonts w:ascii="Arial" w:hAnsi="Arial" w:cs="Arial"/>
            </w:rPr>
            <w:t>Rationale</w:t>
          </w:r>
        </w:p>
        <w:p w14:paraId="53ECCDCD" w14:textId="1944990B" w:rsidR="00480C5B" w:rsidRPr="00962F0D" w:rsidRDefault="00341457" w:rsidP="00480C5B">
          <w:pPr>
            <w:pStyle w:val="Heading2"/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</w:pPr>
          <w:r w:rsidRPr="00962F0D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>LNH will maintain bank accounts with a reputable and ethical financial institution. The choice of financial institution is made by the Board.</w:t>
          </w:r>
          <w:r w:rsidR="00B66AFC" w:rsidRPr="00962F0D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 xml:space="preserve"> </w:t>
          </w:r>
          <w:r w:rsidR="00667665" w:rsidRPr="00962F0D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>LNH</w:t>
          </w:r>
          <w:r w:rsidR="00A26DD4" w:rsidRPr="00962F0D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 xml:space="preserve"> seeks to ensure that all its financial transactions are transparent and appropriately recorded </w:t>
          </w:r>
          <w:r w:rsidR="00064DF4" w:rsidRPr="00962F0D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 xml:space="preserve">and monitored </w:t>
          </w:r>
          <w:r w:rsidR="00A26DD4" w:rsidRPr="00962F0D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 xml:space="preserve">to </w:t>
          </w:r>
          <w:proofErr w:type="spellStart"/>
          <w:r w:rsidR="00A26DD4" w:rsidRPr="00962F0D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>minimise</w:t>
          </w:r>
          <w:proofErr w:type="spellEnd"/>
          <w:r w:rsidR="00A26DD4" w:rsidRPr="00962F0D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 xml:space="preserve"> its exposure to </w:t>
          </w:r>
          <w:r w:rsidR="00064DF4" w:rsidRPr="00962F0D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 xml:space="preserve">risk of </w:t>
          </w:r>
          <w:r w:rsidR="00A26DD4" w:rsidRPr="00962F0D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>theft or fraud.</w:t>
          </w:r>
          <w:r w:rsidR="00480C5B" w:rsidRPr="00962F0D">
            <w:rPr>
              <w:rFonts w:ascii="Arial" w:eastAsiaTheme="minorEastAsia" w:hAnsi="Arial" w:cs="Arial"/>
              <w:b w:val="0"/>
              <w:bCs w:val="0"/>
              <w:color w:val="auto"/>
              <w:sz w:val="24"/>
              <w:szCs w:val="22"/>
            </w:rPr>
            <w:t xml:space="preserve"> </w:t>
          </w:r>
        </w:p>
        <w:p w14:paraId="213B8703" w14:textId="487F4AE5" w:rsidR="004214F0" w:rsidRPr="00962F0D" w:rsidRDefault="00AC4941" w:rsidP="00F43648">
          <w:pPr>
            <w:pStyle w:val="Heading2"/>
            <w:rPr>
              <w:rFonts w:ascii="Arial" w:hAnsi="Arial" w:cs="Arial"/>
            </w:rPr>
          </w:pPr>
          <w:r w:rsidRPr="00962F0D">
            <w:rPr>
              <w:rFonts w:ascii="Arial" w:hAnsi="Arial" w:cs="Arial"/>
            </w:rPr>
            <w:t>Procedures</w:t>
          </w:r>
        </w:p>
        <w:p w14:paraId="5F8F1C2F" w14:textId="77777777" w:rsidR="000B1D15" w:rsidRPr="00962F0D" w:rsidRDefault="005020A2" w:rsidP="0042595B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color w:val="000000" w:themeColor="text1"/>
            </w:rPr>
          </w:pPr>
          <w:r w:rsidRPr="00962F0D">
            <w:rPr>
              <w:rFonts w:ascii="Arial" w:hAnsi="Arial" w:cs="Arial"/>
              <w:color w:val="000000" w:themeColor="text1"/>
            </w:rPr>
            <w:t>LNH</w:t>
          </w:r>
          <w:r w:rsidR="00D45A8B" w:rsidRPr="00962F0D">
            <w:rPr>
              <w:rFonts w:ascii="Arial" w:hAnsi="Arial" w:cs="Arial"/>
              <w:color w:val="000000" w:themeColor="text1"/>
            </w:rPr>
            <w:t xml:space="preserve"> currently banks with </w:t>
          </w:r>
          <w:r w:rsidRPr="00962F0D">
            <w:rPr>
              <w:rFonts w:ascii="Arial" w:hAnsi="Arial" w:cs="Arial"/>
              <w:color w:val="000000" w:themeColor="text1"/>
            </w:rPr>
            <w:t>Bank</w:t>
          </w:r>
          <w:r w:rsidR="008A0263" w:rsidRPr="00962F0D">
            <w:rPr>
              <w:rFonts w:ascii="Arial" w:hAnsi="Arial" w:cs="Arial"/>
              <w:color w:val="000000" w:themeColor="text1"/>
            </w:rPr>
            <w:t xml:space="preserve"> Australia</w:t>
          </w:r>
          <w:r w:rsidR="00FA2ED1" w:rsidRPr="00962F0D">
            <w:rPr>
              <w:rFonts w:ascii="Arial" w:hAnsi="Arial" w:cs="Arial"/>
              <w:color w:val="000000" w:themeColor="text1"/>
            </w:rPr>
            <w:t>.</w:t>
          </w:r>
          <w:r w:rsidR="0042595B" w:rsidRPr="00962F0D">
            <w:rPr>
              <w:rFonts w:ascii="Arial" w:hAnsi="Arial" w:cs="Arial"/>
              <w:color w:val="000000" w:themeColor="text1"/>
            </w:rPr>
            <w:t xml:space="preserve"> </w:t>
          </w:r>
        </w:p>
        <w:p w14:paraId="72AE2ACD" w14:textId="6E7026D8" w:rsidR="0042595B" w:rsidRPr="00962F0D" w:rsidRDefault="0042595B" w:rsidP="000B1D15">
          <w:pPr>
            <w:ind w:left="360"/>
            <w:rPr>
              <w:rFonts w:ascii="Arial" w:hAnsi="Arial" w:cs="Arial"/>
              <w:b/>
              <w:color w:val="000000" w:themeColor="text1"/>
            </w:rPr>
          </w:pPr>
          <w:r w:rsidRPr="00962F0D">
            <w:rPr>
              <w:rFonts w:ascii="Arial" w:hAnsi="Arial" w:cs="Arial"/>
              <w:b/>
              <w:color w:val="000000" w:themeColor="text1"/>
            </w:rPr>
            <w:t>Opening Bank Accounts</w:t>
          </w:r>
        </w:p>
        <w:p w14:paraId="1EACDDC1" w14:textId="6793C769" w:rsidR="0042595B" w:rsidRPr="00962F0D" w:rsidRDefault="0042595B" w:rsidP="0042595B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color w:val="000000" w:themeColor="text1"/>
            </w:rPr>
          </w:pPr>
          <w:r w:rsidRPr="00962F0D">
            <w:rPr>
              <w:rFonts w:ascii="Arial" w:hAnsi="Arial" w:cs="Arial"/>
              <w:color w:val="000000" w:themeColor="text1"/>
            </w:rPr>
            <w:t xml:space="preserve">Any new bank accounts to be opened for the </w:t>
          </w:r>
          <w:proofErr w:type="spellStart"/>
          <w:r w:rsidR="00F81722" w:rsidRPr="00962F0D">
            <w:rPr>
              <w:rFonts w:ascii="Arial" w:hAnsi="Arial" w:cs="Arial"/>
              <w:color w:val="000000" w:themeColor="text1"/>
            </w:rPr>
            <w:t>organisation</w:t>
          </w:r>
          <w:proofErr w:type="spellEnd"/>
          <w:r w:rsidRPr="00962F0D">
            <w:rPr>
              <w:rFonts w:ascii="Arial" w:hAnsi="Arial" w:cs="Arial"/>
              <w:color w:val="000000" w:themeColor="text1"/>
            </w:rPr>
            <w:t xml:space="preserve"> must have the </w:t>
          </w:r>
          <w:proofErr w:type="spellStart"/>
          <w:r w:rsidRPr="00962F0D">
            <w:rPr>
              <w:rFonts w:ascii="Arial" w:hAnsi="Arial" w:cs="Arial"/>
              <w:color w:val="000000" w:themeColor="text1"/>
            </w:rPr>
            <w:t>authorisation</w:t>
          </w:r>
          <w:proofErr w:type="spellEnd"/>
          <w:r w:rsidRPr="00962F0D">
            <w:rPr>
              <w:rFonts w:ascii="Arial" w:hAnsi="Arial" w:cs="Arial"/>
              <w:color w:val="000000" w:themeColor="text1"/>
            </w:rPr>
            <w:t xml:space="preserve"> of </w:t>
          </w:r>
          <w:r w:rsidR="00BF33D2" w:rsidRPr="00962F0D">
            <w:rPr>
              <w:rFonts w:ascii="Arial" w:hAnsi="Arial" w:cs="Arial"/>
              <w:color w:val="000000" w:themeColor="text1"/>
            </w:rPr>
            <w:t>the committee</w:t>
          </w:r>
        </w:p>
        <w:p w14:paraId="68C40283" w14:textId="0237642D" w:rsidR="0042595B" w:rsidRPr="00962F0D" w:rsidRDefault="0042595B" w:rsidP="0042595B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color w:val="000000" w:themeColor="text1"/>
            </w:rPr>
          </w:pPr>
          <w:r w:rsidRPr="00962F0D">
            <w:rPr>
              <w:rFonts w:ascii="Arial" w:hAnsi="Arial" w:cs="Arial"/>
              <w:color w:val="000000" w:themeColor="text1"/>
            </w:rPr>
            <w:t xml:space="preserve">For each new bank account opened, the financial system must be updated, and the bank account registered by </w:t>
          </w:r>
          <w:r w:rsidR="00BF33D2" w:rsidRPr="00962F0D">
            <w:rPr>
              <w:rFonts w:ascii="Arial" w:hAnsi="Arial" w:cs="Arial"/>
              <w:color w:val="000000" w:themeColor="text1"/>
            </w:rPr>
            <w:t>the finance officer.</w:t>
          </w:r>
        </w:p>
        <w:p w14:paraId="42A14DC8" w14:textId="77777777" w:rsidR="0042595B" w:rsidRPr="00962F0D" w:rsidRDefault="0042595B" w:rsidP="00BF33D2">
          <w:pPr>
            <w:ind w:left="360"/>
            <w:rPr>
              <w:rFonts w:ascii="Arial" w:hAnsi="Arial" w:cs="Arial"/>
              <w:b/>
              <w:color w:val="000000" w:themeColor="text1"/>
            </w:rPr>
          </w:pPr>
          <w:r w:rsidRPr="00962F0D">
            <w:rPr>
              <w:rFonts w:ascii="Arial" w:hAnsi="Arial" w:cs="Arial"/>
              <w:b/>
              <w:color w:val="000000" w:themeColor="text1"/>
            </w:rPr>
            <w:t xml:space="preserve">Bank Account </w:t>
          </w:r>
          <w:proofErr w:type="spellStart"/>
          <w:r w:rsidRPr="00962F0D">
            <w:rPr>
              <w:rFonts w:ascii="Arial" w:hAnsi="Arial" w:cs="Arial"/>
              <w:b/>
              <w:color w:val="000000" w:themeColor="text1"/>
            </w:rPr>
            <w:t>Authorisations</w:t>
          </w:r>
          <w:proofErr w:type="spellEnd"/>
          <w:r w:rsidRPr="00962F0D">
            <w:rPr>
              <w:rFonts w:ascii="Arial" w:hAnsi="Arial" w:cs="Arial"/>
              <w:b/>
              <w:color w:val="000000" w:themeColor="text1"/>
            </w:rPr>
            <w:t xml:space="preserve"> </w:t>
          </w:r>
        </w:p>
        <w:p w14:paraId="4131C49A" w14:textId="71A1C7BA" w:rsidR="0042595B" w:rsidRPr="00962F0D" w:rsidRDefault="0042595B" w:rsidP="0042595B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color w:val="000000" w:themeColor="text1"/>
            </w:rPr>
          </w:pPr>
          <w:r w:rsidRPr="00962F0D">
            <w:rPr>
              <w:rFonts w:ascii="Arial" w:hAnsi="Arial" w:cs="Arial"/>
              <w:color w:val="000000" w:themeColor="text1"/>
            </w:rPr>
            <w:t xml:space="preserve">For monies withdrawn from any bank account, whether by cheque, EFT or other online payment method, there must be </w:t>
          </w:r>
          <w:r w:rsidR="004714BD" w:rsidRPr="00962F0D">
            <w:rPr>
              <w:rFonts w:ascii="Arial" w:hAnsi="Arial" w:cs="Arial"/>
              <w:color w:val="000000" w:themeColor="text1"/>
            </w:rPr>
            <w:t>two</w:t>
          </w:r>
          <w:r w:rsidRPr="00962F0D">
            <w:rPr>
              <w:rFonts w:ascii="Arial" w:hAnsi="Arial" w:cs="Arial"/>
              <w:color w:val="000000" w:themeColor="text1"/>
            </w:rPr>
            <w:t xml:space="preserve"> persons </w:t>
          </w:r>
          <w:proofErr w:type="spellStart"/>
          <w:r w:rsidRPr="00962F0D">
            <w:rPr>
              <w:rFonts w:ascii="Arial" w:hAnsi="Arial" w:cs="Arial"/>
              <w:color w:val="000000" w:themeColor="text1"/>
            </w:rPr>
            <w:t>authorising</w:t>
          </w:r>
          <w:proofErr w:type="spellEnd"/>
          <w:r w:rsidRPr="00962F0D">
            <w:rPr>
              <w:rFonts w:ascii="Arial" w:hAnsi="Arial" w:cs="Arial"/>
              <w:color w:val="000000" w:themeColor="text1"/>
            </w:rPr>
            <w:t xml:space="preserve"> for each payment.</w:t>
          </w:r>
        </w:p>
        <w:p w14:paraId="186E2470" w14:textId="6018AD59" w:rsidR="0042595B" w:rsidRPr="00B22533" w:rsidRDefault="0042595B" w:rsidP="00163C93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color w:val="000000" w:themeColor="text1"/>
            </w:rPr>
          </w:pPr>
          <w:r w:rsidRPr="00962F0D">
            <w:rPr>
              <w:rFonts w:ascii="Arial" w:hAnsi="Arial" w:cs="Arial"/>
              <w:color w:val="000000" w:themeColor="text1"/>
            </w:rPr>
            <w:t>The authorised persons for bank account payments</w:t>
          </w:r>
          <w:r w:rsidRPr="00B22533">
            <w:rPr>
              <w:rFonts w:ascii="Arial" w:hAnsi="Arial" w:cs="Arial"/>
              <w:color w:val="000000" w:themeColor="text1"/>
            </w:rPr>
            <w:t xml:space="preserve"> are</w:t>
          </w:r>
          <w:r w:rsidR="004714BD" w:rsidRPr="00B22533">
            <w:rPr>
              <w:rFonts w:ascii="Arial" w:hAnsi="Arial" w:cs="Arial"/>
              <w:color w:val="000000" w:themeColor="text1"/>
            </w:rPr>
            <w:t xml:space="preserve"> nominated committee members, the finance officer and the manager</w:t>
          </w:r>
          <w:r w:rsidRPr="00B22533">
            <w:rPr>
              <w:rFonts w:ascii="Arial" w:hAnsi="Arial" w:cs="Arial"/>
              <w:color w:val="000000" w:themeColor="text1"/>
            </w:rPr>
            <w:t>.</w:t>
          </w:r>
        </w:p>
        <w:p w14:paraId="54789230" w14:textId="77777777" w:rsidR="0042595B" w:rsidRPr="00B22533" w:rsidRDefault="0042595B" w:rsidP="0042595B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 xml:space="preserve">Each payment made must be supported by invoice, receipt or other appropriate documentation and the </w:t>
          </w:r>
          <w:proofErr w:type="spellStart"/>
          <w:r w:rsidRPr="00B22533">
            <w:rPr>
              <w:rFonts w:ascii="Arial" w:hAnsi="Arial" w:cs="Arial"/>
              <w:color w:val="000000" w:themeColor="text1"/>
            </w:rPr>
            <w:t>authorisations</w:t>
          </w:r>
          <w:proofErr w:type="spellEnd"/>
          <w:r w:rsidRPr="00B22533">
            <w:rPr>
              <w:rFonts w:ascii="Arial" w:hAnsi="Arial" w:cs="Arial"/>
              <w:color w:val="000000" w:themeColor="text1"/>
            </w:rPr>
            <w:t xml:space="preserve"> must be attached to this documentation prior to payment.</w:t>
          </w:r>
        </w:p>
        <w:p w14:paraId="3348CAAD" w14:textId="77777777" w:rsidR="00B9732E" w:rsidRDefault="00B9732E" w:rsidP="00163C93">
          <w:pPr>
            <w:ind w:left="360"/>
            <w:rPr>
              <w:rFonts w:ascii="Arial" w:hAnsi="Arial" w:cs="Arial"/>
              <w:b/>
              <w:color w:val="000000" w:themeColor="text1"/>
            </w:rPr>
          </w:pPr>
        </w:p>
        <w:p w14:paraId="7D410B3E" w14:textId="77777777" w:rsidR="00B43E08" w:rsidRPr="00B22533" w:rsidRDefault="00B43E08" w:rsidP="00163C93">
          <w:pPr>
            <w:ind w:left="360"/>
            <w:rPr>
              <w:rFonts w:ascii="Arial" w:hAnsi="Arial" w:cs="Arial"/>
              <w:b/>
              <w:color w:val="000000" w:themeColor="text1"/>
            </w:rPr>
          </w:pPr>
        </w:p>
        <w:p w14:paraId="6ECA7D8D" w14:textId="77777777" w:rsidR="00B9732E" w:rsidRPr="00B22533" w:rsidRDefault="00B9732E" w:rsidP="00163C93">
          <w:pPr>
            <w:ind w:left="360"/>
            <w:rPr>
              <w:rFonts w:ascii="Arial" w:hAnsi="Arial" w:cs="Arial"/>
              <w:b/>
              <w:color w:val="000000" w:themeColor="text1"/>
            </w:rPr>
          </w:pPr>
        </w:p>
        <w:p w14:paraId="308D14F1" w14:textId="0A941A88" w:rsidR="0042595B" w:rsidRPr="00B22533" w:rsidRDefault="0042595B" w:rsidP="00163C93">
          <w:pPr>
            <w:ind w:left="360"/>
            <w:rPr>
              <w:rFonts w:ascii="Arial" w:hAnsi="Arial" w:cs="Arial"/>
              <w:b/>
              <w:color w:val="000000" w:themeColor="text1"/>
            </w:rPr>
          </w:pPr>
          <w:r w:rsidRPr="00B22533">
            <w:rPr>
              <w:rFonts w:ascii="Arial" w:hAnsi="Arial" w:cs="Arial"/>
              <w:b/>
              <w:color w:val="000000" w:themeColor="text1"/>
            </w:rPr>
            <w:lastRenderedPageBreak/>
            <w:t>Variations to Bank Account Terms and Conditions</w:t>
          </w:r>
        </w:p>
        <w:p w14:paraId="2F692716" w14:textId="4C236531" w:rsidR="0042595B" w:rsidRPr="00B22533" w:rsidRDefault="0042595B" w:rsidP="0042595B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 xml:space="preserve">Any variations to banking arrangements can be made or varied by </w:t>
          </w:r>
          <w:r w:rsidR="00163C93" w:rsidRPr="00B22533">
            <w:rPr>
              <w:rFonts w:ascii="Arial" w:hAnsi="Arial" w:cs="Arial"/>
              <w:color w:val="000000" w:themeColor="text1"/>
            </w:rPr>
            <w:t xml:space="preserve">the </w:t>
          </w:r>
          <w:r w:rsidR="00EC6D5E" w:rsidRPr="00B22533">
            <w:rPr>
              <w:rFonts w:ascii="Arial" w:hAnsi="Arial" w:cs="Arial"/>
              <w:color w:val="000000" w:themeColor="text1"/>
            </w:rPr>
            <w:t>f</w:t>
          </w:r>
          <w:r w:rsidR="00163C93" w:rsidRPr="00B22533">
            <w:rPr>
              <w:rFonts w:ascii="Arial" w:hAnsi="Arial" w:cs="Arial"/>
              <w:color w:val="000000" w:themeColor="text1"/>
            </w:rPr>
            <w:t xml:space="preserve">inance </w:t>
          </w:r>
          <w:r w:rsidR="00EC6D5E" w:rsidRPr="00B22533">
            <w:rPr>
              <w:rFonts w:ascii="Arial" w:hAnsi="Arial" w:cs="Arial"/>
              <w:color w:val="000000" w:themeColor="text1"/>
            </w:rPr>
            <w:t>o</w:t>
          </w:r>
          <w:r w:rsidR="00163C93" w:rsidRPr="00B22533">
            <w:rPr>
              <w:rFonts w:ascii="Arial" w:hAnsi="Arial" w:cs="Arial"/>
              <w:color w:val="000000" w:themeColor="text1"/>
            </w:rPr>
            <w:t>fficer.</w:t>
          </w:r>
        </w:p>
        <w:p w14:paraId="700D400B" w14:textId="6691D0DE" w:rsidR="0042595B" w:rsidRPr="00B22533" w:rsidRDefault="00163C93" w:rsidP="0042595B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>The finance officer</w:t>
          </w:r>
          <w:r w:rsidR="0042595B" w:rsidRPr="00B22533">
            <w:rPr>
              <w:rFonts w:ascii="Arial" w:hAnsi="Arial" w:cs="Arial"/>
              <w:color w:val="000000" w:themeColor="text1"/>
            </w:rPr>
            <w:t xml:space="preserve"> is responsible for updating the financial system and/or bank account register with the new information.</w:t>
          </w:r>
        </w:p>
        <w:p w14:paraId="475EEA05" w14:textId="77777777" w:rsidR="0042595B" w:rsidRPr="00B22533" w:rsidRDefault="0042595B" w:rsidP="00163C93">
          <w:pPr>
            <w:ind w:left="360"/>
            <w:rPr>
              <w:rFonts w:ascii="Arial" w:hAnsi="Arial" w:cs="Arial"/>
              <w:b/>
              <w:color w:val="000000" w:themeColor="text1"/>
            </w:rPr>
          </w:pPr>
          <w:r w:rsidRPr="00B22533">
            <w:rPr>
              <w:rFonts w:ascii="Arial" w:hAnsi="Arial" w:cs="Arial"/>
              <w:b/>
              <w:color w:val="000000" w:themeColor="text1"/>
            </w:rPr>
            <w:t>Closing Bank Accounts</w:t>
          </w:r>
        </w:p>
        <w:p w14:paraId="1F449DC1" w14:textId="5CEC0B13" w:rsidR="0042595B" w:rsidRPr="00B22533" w:rsidRDefault="0042595B" w:rsidP="0042595B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 xml:space="preserve">Where it is decided that a bank account is no longer necessary, </w:t>
          </w:r>
          <w:r w:rsidR="007B07DD" w:rsidRPr="00B22533">
            <w:rPr>
              <w:rFonts w:ascii="Arial" w:hAnsi="Arial" w:cs="Arial"/>
              <w:color w:val="000000" w:themeColor="text1"/>
            </w:rPr>
            <w:t>the manager</w:t>
          </w:r>
          <w:r w:rsidRPr="00B22533">
            <w:rPr>
              <w:rFonts w:ascii="Arial" w:hAnsi="Arial" w:cs="Arial"/>
              <w:color w:val="000000" w:themeColor="text1"/>
            </w:rPr>
            <w:t xml:space="preserve"> will authorise the closure of the bank account.</w:t>
          </w:r>
        </w:p>
        <w:p w14:paraId="118EC0EB" w14:textId="0DAE4372" w:rsidR="0042595B" w:rsidRPr="00B22533" w:rsidRDefault="0042595B" w:rsidP="007F73B0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 xml:space="preserve">The </w:t>
          </w:r>
          <w:r w:rsidR="007B07DD" w:rsidRPr="00B22533">
            <w:rPr>
              <w:rFonts w:ascii="Arial" w:hAnsi="Arial" w:cs="Arial"/>
              <w:color w:val="000000" w:themeColor="text1"/>
            </w:rPr>
            <w:t>finance officer</w:t>
          </w:r>
          <w:r w:rsidRPr="00B22533">
            <w:rPr>
              <w:rFonts w:ascii="Arial" w:hAnsi="Arial" w:cs="Arial"/>
              <w:color w:val="000000" w:themeColor="text1"/>
            </w:rPr>
            <w:t xml:space="preserve"> will then </w:t>
          </w:r>
          <w:proofErr w:type="spellStart"/>
          <w:r w:rsidR="00354C14" w:rsidRPr="00B22533">
            <w:rPr>
              <w:rFonts w:ascii="Arial" w:hAnsi="Arial" w:cs="Arial"/>
              <w:color w:val="000000" w:themeColor="text1"/>
            </w:rPr>
            <w:t>finalise</w:t>
          </w:r>
          <w:proofErr w:type="spellEnd"/>
          <w:r w:rsidR="00354C14" w:rsidRPr="00B22533">
            <w:rPr>
              <w:rFonts w:ascii="Arial" w:hAnsi="Arial" w:cs="Arial"/>
              <w:color w:val="000000" w:themeColor="text1"/>
            </w:rPr>
            <w:t xml:space="preserve"> all transactions, </w:t>
          </w:r>
          <w:r w:rsidR="00263E30" w:rsidRPr="00B22533">
            <w:rPr>
              <w:rFonts w:ascii="Arial" w:hAnsi="Arial" w:cs="Arial"/>
              <w:color w:val="000000" w:themeColor="text1"/>
            </w:rPr>
            <w:t>meet the bank's requirements with respect to account closure</w:t>
          </w:r>
          <w:r w:rsidR="00D85B2B" w:rsidRPr="00B22533">
            <w:rPr>
              <w:rFonts w:ascii="Arial" w:hAnsi="Arial" w:cs="Arial"/>
              <w:color w:val="000000" w:themeColor="text1"/>
            </w:rPr>
            <w:t xml:space="preserve"> and </w:t>
          </w:r>
          <w:r w:rsidRPr="00B22533">
            <w:rPr>
              <w:rFonts w:ascii="Arial" w:hAnsi="Arial" w:cs="Arial"/>
              <w:color w:val="000000" w:themeColor="text1"/>
            </w:rPr>
            <w:t>update the financial system and bank account register.</w:t>
          </w:r>
        </w:p>
        <w:p w14:paraId="2C8BBFFA" w14:textId="77777777" w:rsidR="0042595B" w:rsidRPr="00B22533" w:rsidRDefault="0042595B" w:rsidP="0083149D">
          <w:pPr>
            <w:ind w:left="360"/>
            <w:rPr>
              <w:rFonts w:ascii="Arial" w:hAnsi="Arial" w:cs="Arial"/>
              <w:b/>
              <w:color w:val="000000" w:themeColor="text1"/>
            </w:rPr>
          </w:pPr>
          <w:r w:rsidRPr="00B22533">
            <w:rPr>
              <w:rFonts w:ascii="Arial" w:hAnsi="Arial" w:cs="Arial"/>
              <w:b/>
              <w:color w:val="000000" w:themeColor="text1"/>
            </w:rPr>
            <w:t>Bank Account Transactions</w:t>
          </w:r>
        </w:p>
        <w:p w14:paraId="0850B40A" w14:textId="2F21FC97" w:rsidR="0042595B" w:rsidRPr="00B22533" w:rsidRDefault="0042595B" w:rsidP="0042595B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 xml:space="preserve">All deposits received must be banked </w:t>
          </w:r>
          <w:r w:rsidR="004531E6" w:rsidRPr="00B22533">
            <w:rPr>
              <w:rFonts w:ascii="Arial" w:hAnsi="Arial" w:cs="Arial"/>
              <w:color w:val="000000" w:themeColor="text1"/>
            </w:rPr>
            <w:t xml:space="preserve">in </w:t>
          </w:r>
          <w:r w:rsidR="00B4736C" w:rsidRPr="00B22533">
            <w:rPr>
              <w:rFonts w:ascii="Arial" w:hAnsi="Arial" w:cs="Arial"/>
              <w:color w:val="000000" w:themeColor="text1"/>
            </w:rPr>
            <w:t xml:space="preserve">the Transaction Account </w:t>
          </w:r>
          <w:r w:rsidRPr="00B22533">
            <w:rPr>
              <w:rFonts w:ascii="Arial" w:hAnsi="Arial" w:cs="Arial"/>
              <w:color w:val="000000" w:themeColor="text1"/>
            </w:rPr>
            <w:t>within</w:t>
          </w:r>
          <w:r w:rsidR="00B4736C" w:rsidRPr="00B22533">
            <w:rPr>
              <w:rFonts w:ascii="Arial" w:hAnsi="Arial" w:cs="Arial"/>
              <w:color w:val="000000" w:themeColor="text1"/>
            </w:rPr>
            <w:t xml:space="preserve"> </w:t>
          </w:r>
          <w:r w:rsidR="00B62205" w:rsidRPr="00B22533">
            <w:rPr>
              <w:rFonts w:ascii="Arial" w:hAnsi="Arial" w:cs="Arial"/>
              <w:color w:val="000000" w:themeColor="text1"/>
            </w:rPr>
            <w:t>two days.</w:t>
          </w:r>
        </w:p>
        <w:p w14:paraId="718657D2" w14:textId="3494FDDF" w:rsidR="00D45A8B" w:rsidRPr="00B22533" w:rsidRDefault="0042595B" w:rsidP="0042595B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 xml:space="preserve">Unallocated direct deposits of more than </w:t>
          </w:r>
          <w:r w:rsidR="00B62205" w:rsidRPr="00B22533">
            <w:rPr>
              <w:rFonts w:ascii="Arial" w:hAnsi="Arial" w:cs="Arial"/>
              <w:color w:val="000000" w:themeColor="text1"/>
            </w:rPr>
            <w:t>one month</w:t>
          </w:r>
          <w:r w:rsidRPr="00B22533">
            <w:rPr>
              <w:rFonts w:ascii="Arial" w:hAnsi="Arial" w:cs="Arial"/>
              <w:color w:val="000000" w:themeColor="text1"/>
            </w:rPr>
            <w:t xml:space="preserve"> will be investigated fully to determine source of deposit. Where the source cannot be identified, the deposit will be allocated to a suspense account to keep these funds separate and identifiable.</w:t>
          </w:r>
        </w:p>
        <w:p w14:paraId="66789708" w14:textId="57885D8F" w:rsidR="00AB7D5B" w:rsidRPr="00B22533" w:rsidRDefault="00DD426F" w:rsidP="00AB7D5B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 xml:space="preserve">All </w:t>
          </w:r>
          <w:r w:rsidR="00CA7479" w:rsidRPr="00B22533">
            <w:rPr>
              <w:rFonts w:ascii="Arial" w:hAnsi="Arial" w:cs="Arial"/>
              <w:color w:val="000000" w:themeColor="text1"/>
            </w:rPr>
            <w:t>e</w:t>
          </w:r>
          <w:r w:rsidRPr="00B22533">
            <w:rPr>
              <w:rFonts w:ascii="Arial" w:hAnsi="Arial" w:cs="Arial"/>
              <w:color w:val="000000" w:themeColor="text1"/>
            </w:rPr>
            <w:t>xpenditure</w:t>
          </w:r>
          <w:r w:rsidR="00D22A25" w:rsidRPr="00B22533">
            <w:rPr>
              <w:rFonts w:ascii="Arial" w:hAnsi="Arial" w:cs="Arial"/>
              <w:color w:val="000000" w:themeColor="text1"/>
            </w:rPr>
            <w:t xml:space="preserve"> is made </w:t>
          </w:r>
          <w:r w:rsidR="00A41A23" w:rsidRPr="00B22533">
            <w:rPr>
              <w:rFonts w:ascii="Arial" w:hAnsi="Arial" w:cs="Arial"/>
              <w:color w:val="000000" w:themeColor="text1"/>
            </w:rPr>
            <w:t>in accordance with</w:t>
          </w:r>
          <w:r w:rsidR="00D22A25" w:rsidRPr="00B22533">
            <w:rPr>
              <w:rFonts w:ascii="Arial" w:hAnsi="Arial" w:cs="Arial"/>
              <w:color w:val="000000" w:themeColor="text1"/>
            </w:rPr>
            <w:t xml:space="preserve"> the current LNH delegation</w:t>
          </w:r>
          <w:r w:rsidR="0013441E" w:rsidRPr="00B22533">
            <w:rPr>
              <w:rFonts w:ascii="Arial" w:hAnsi="Arial" w:cs="Arial"/>
              <w:color w:val="000000" w:themeColor="text1"/>
            </w:rPr>
            <w:t xml:space="preserve"> of authority</w:t>
          </w:r>
          <w:r w:rsidR="00D22A25" w:rsidRPr="00B22533">
            <w:rPr>
              <w:rFonts w:ascii="Arial" w:hAnsi="Arial" w:cs="Arial"/>
              <w:color w:val="000000" w:themeColor="text1"/>
            </w:rPr>
            <w:t xml:space="preserve"> policy</w:t>
          </w:r>
          <w:r w:rsidR="00AB7D5B" w:rsidRPr="00B22533">
            <w:rPr>
              <w:rFonts w:ascii="Arial" w:hAnsi="Arial" w:cs="Arial"/>
              <w:color w:val="000000" w:themeColor="text1"/>
            </w:rPr>
            <w:t xml:space="preserve">. </w:t>
          </w:r>
        </w:p>
        <w:p w14:paraId="4E6AC078" w14:textId="7DD44A84" w:rsidR="00AB7D5B" w:rsidRPr="00B22533" w:rsidRDefault="00E8403F" w:rsidP="00E8403F">
          <w:pPr>
            <w:pStyle w:val="ListParagraph"/>
            <w:numPr>
              <w:ilvl w:val="0"/>
              <w:numId w:val="11"/>
            </w:numPr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 xml:space="preserve">LNH will have a Term Deposit to </w:t>
          </w:r>
          <w:proofErr w:type="spellStart"/>
          <w:r w:rsidRPr="00B22533">
            <w:rPr>
              <w:rFonts w:ascii="Arial" w:hAnsi="Arial" w:cs="Arial"/>
              <w:color w:val="000000" w:themeColor="text1"/>
            </w:rPr>
            <w:t>maximise</w:t>
          </w:r>
          <w:proofErr w:type="spellEnd"/>
          <w:r w:rsidRPr="00B22533">
            <w:rPr>
              <w:rFonts w:ascii="Arial" w:hAnsi="Arial" w:cs="Arial"/>
              <w:color w:val="000000" w:themeColor="text1"/>
            </w:rPr>
            <w:t xml:space="preserve"> interest revenue, when funds are available. F</w:t>
          </w:r>
          <w:r w:rsidR="00AB7D5B" w:rsidRPr="00B22533">
            <w:rPr>
              <w:rFonts w:ascii="Arial" w:hAnsi="Arial" w:cs="Arial"/>
              <w:color w:val="000000" w:themeColor="text1"/>
            </w:rPr>
            <w:t xml:space="preserve">unds are transferred between the </w:t>
          </w:r>
          <w:r w:rsidR="00115A84" w:rsidRPr="00B22533">
            <w:rPr>
              <w:rFonts w:ascii="Arial" w:hAnsi="Arial" w:cs="Arial"/>
              <w:color w:val="000000" w:themeColor="text1"/>
            </w:rPr>
            <w:t>Tr</w:t>
          </w:r>
          <w:r w:rsidR="002E3A31" w:rsidRPr="00B22533">
            <w:rPr>
              <w:rFonts w:ascii="Arial" w:hAnsi="Arial" w:cs="Arial"/>
              <w:color w:val="000000" w:themeColor="text1"/>
            </w:rPr>
            <w:t>ansaction</w:t>
          </w:r>
          <w:r w:rsidR="00AB7D5B" w:rsidRPr="00B22533">
            <w:rPr>
              <w:rFonts w:ascii="Arial" w:hAnsi="Arial" w:cs="Arial"/>
              <w:color w:val="000000" w:themeColor="text1"/>
            </w:rPr>
            <w:t xml:space="preserve"> Account and the </w:t>
          </w:r>
          <w:r w:rsidR="002E3A31" w:rsidRPr="00B22533">
            <w:rPr>
              <w:rFonts w:ascii="Arial" w:hAnsi="Arial" w:cs="Arial"/>
              <w:color w:val="000000" w:themeColor="text1"/>
            </w:rPr>
            <w:t>Term Deposit</w:t>
          </w:r>
          <w:r w:rsidR="00AB7D5B" w:rsidRPr="00B22533">
            <w:rPr>
              <w:rFonts w:ascii="Arial" w:hAnsi="Arial" w:cs="Arial"/>
              <w:color w:val="000000" w:themeColor="text1"/>
            </w:rPr>
            <w:t xml:space="preserve"> Account to meet financial requirements as they arise while also </w:t>
          </w:r>
          <w:proofErr w:type="spellStart"/>
          <w:r w:rsidR="00AB7D5B" w:rsidRPr="00B22533">
            <w:rPr>
              <w:rFonts w:ascii="Arial" w:hAnsi="Arial" w:cs="Arial"/>
              <w:color w:val="000000" w:themeColor="text1"/>
            </w:rPr>
            <w:t>maximising</w:t>
          </w:r>
          <w:proofErr w:type="spellEnd"/>
          <w:r w:rsidR="00AB7D5B" w:rsidRPr="00B22533">
            <w:rPr>
              <w:rFonts w:ascii="Arial" w:hAnsi="Arial" w:cs="Arial"/>
              <w:color w:val="000000" w:themeColor="text1"/>
            </w:rPr>
            <w:t xml:space="preserve"> interest revenue. The decision to transfer these funds is delegated to the Finance Officer and will be recorded in the finance papers at the </w:t>
          </w:r>
          <w:r w:rsidR="002E3A31" w:rsidRPr="00B22533">
            <w:rPr>
              <w:rFonts w:ascii="Arial" w:hAnsi="Arial" w:cs="Arial"/>
              <w:color w:val="000000" w:themeColor="text1"/>
            </w:rPr>
            <w:t>Committee</w:t>
          </w:r>
          <w:r w:rsidR="00AB7D5B" w:rsidRPr="00B22533">
            <w:rPr>
              <w:rFonts w:ascii="Arial" w:hAnsi="Arial" w:cs="Arial"/>
              <w:color w:val="000000" w:themeColor="text1"/>
            </w:rPr>
            <w:t xml:space="preserve"> Meeting.</w:t>
          </w:r>
        </w:p>
        <w:p w14:paraId="7465F14E" w14:textId="79286147" w:rsidR="00F44750" w:rsidRPr="00B22533" w:rsidRDefault="00F44750" w:rsidP="00F43648">
          <w:pPr>
            <w:pStyle w:val="Heading2"/>
            <w:rPr>
              <w:rFonts w:ascii="Arial" w:hAnsi="Arial" w:cs="Arial"/>
            </w:rPr>
          </w:pPr>
          <w:r w:rsidRPr="00B22533">
            <w:rPr>
              <w:rFonts w:ascii="Arial" w:hAnsi="Arial" w:cs="Arial"/>
            </w:rPr>
            <w:t xml:space="preserve">Related </w:t>
          </w:r>
          <w:r w:rsidR="005F4086" w:rsidRPr="00B22533">
            <w:rPr>
              <w:rFonts w:ascii="Arial" w:hAnsi="Arial" w:cs="Arial"/>
            </w:rPr>
            <w:t>Organisational</w:t>
          </w:r>
          <w:r w:rsidR="007D2603" w:rsidRPr="00B22533">
            <w:rPr>
              <w:rFonts w:ascii="Arial" w:hAnsi="Arial" w:cs="Arial"/>
            </w:rPr>
            <w:t xml:space="preserve"> </w:t>
          </w:r>
          <w:r w:rsidRPr="00B22533">
            <w:rPr>
              <w:rFonts w:ascii="Arial" w:hAnsi="Arial" w:cs="Arial"/>
            </w:rPr>
            <w:t>Policies and Procedures:</w:t>
          </w:r>
        </w:p>
        <w:p w14:paraId="5499B34F" w14:textId="2224B648" w:rsidR="00812E9A" w:rsidRPr="00B22533" w:rsidRDefault="00D22A25" w:rsidP="00812E9A">
          <w:pPr>
            <w:pStyle w:val="ListParagraph"/>
            <w:numPr>
              <w:ilvl w:val="0"/>
              <w:numId w:val="12"/>
            </w:numPr>
            <w:spacing w:after="0"/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>LNH Annual Budget</w:t>
          </w:r>
        </w:p>
        <w:p w14:paraId="7F414107" w14:textId="576781AB" w:rsidR="00B40D9B" w:rsidRPr="00B22533" w:rsidRDefault="00D22A25" w:rsidP="009F3E7B">
          <w:pPr>
            <w:pStyle w:val="ListParagraph"/>
            <w:numPr>
              <w:ilvl w:val="0"/>
              <w:numId w:val="12"/>
            </w:numPr>
            <w:spacing w:after="0"/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>LNH Delegation</w:t>
          </w:r>
          <w:r w:rsidR="00CA7479" w:rsidRPr="00B22533">
            <w:rPr>
              <w:rFonts w:ascii="Arial" w:hAnsi="Arial" w:cs="Arial"/>
              <w:color w:val="000000" w:themeColor="text1"/>
            </w:rPr>
            <w:t xml:space="preserve"> of Authority Policy</w:t>
          </w:r>
        </w:p>
        <w:p w14:paraId="38E65ADB" w14:textId="64B08A2E" w:rsidR="003E6058" w:rsidRPr="00B22533" w:rsidRDefault="003E6058" w:rsidP="009F3E7B">
          <w:pPr>
            <w:pStyle w:val="ListParagraph"/>
            <w:numPr>
              <w:ilvl w:val="0"/>
              <w:numId w:val="12"/>
            </w:numPr>
            <w:spacing w:after="0"/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>Financial Management Policy</w:t>
          </w:r>
        </w:p>
        <w:p w14:paraId="373410B4" w14:textId="77777777" w:rsidR="004214F0" w:rsidRPr="00B22533" w:rsidRDefault="004214F0" w:rsidP="00B36ED9">
          <w:pPr>
            <w:pStyle w:val="Heading2"/>
            <w:rPr>
              <w:rFonts w:ascii="Arial" w:hAnsi="Arial" w:cs="Arial"/>
            </w:rPr>
          </w:pPr>
          <w:r w:rsidRPr="00B22533">
            <w:rPr>
              <w:rFonts w:ascii="Arial" w:hAnsi="Arial" w:cs="Arial"/>
            </w:rPr>
            <w:t>Responsibilities</w:t>
          </w:r>
        </w:p>
        <w:bookmarkEnd w:id="0"/>
        <w:p w14:paraId="08938A51" w14:textId="77777777" w:rsidR="007B1223" w:rsidRPr="00B22533" w:rsidRDefault="007B1223" w:rsidP="007B1223">
          <w:pPr>
            <w:pStyle w:val="Heading3"/>
            <w:rPr>
              <w:rFonts w:ascii="Arial" w:hAnsi="Arial" w:cs="Arial"/>
            </w:rPr>
          </w:pPr>
          <w:r w:rsidRPr="00B22533">
            <w:rPr>
              <w:rFonts w:ascii="Arial" w:hAnsi="Arial" w:cs="Arial"/>
            </w:rPr>
            <w:t>Committee of Governance:</w:t>
          </w:r>
        </w:p>
        <w:p w14:paraId="1A41B3F4" w14:textId="0366AA68" w:rsidR="00F84F97" w:rsidRPr="00B22533" w:rsidRDefault="00C9644E" w:rsidP="007B1223">
          <w:pPr>
            <w:rPr>
              <w:rFonts w:ascii="Arial" w:hAnsi="Arial" w:cs="Arial"/>
              <w:bCs/>
              <w:color w:val="000000" w:themeColor="text1"/>
            </w:rPr>
          </w:pPr>
          <w:r w:rsidRPr="00B22533">
            <w:rPr>
              <w:rFonts w:ascii="Arial" w:hAnsi="Arial" w:cs="Arial"/>
              <w:bCs/>
              <w:color w:val="000000" w:themeColor="text1"/>
            </w:rPr>
            <w:t xml:space="preserve">To </w:t>
          </w:r>
          <w:r w:rsidR="00EE45C4" w:rsidRPr="00B22533">
            <w:rPr>
              <w:rFonts w:ascii="Arial" w:hAnsi="Arial" w:cs="Arial"/>
              <w:bCs/>
              <w:color w:val="000000" w:themeColor="text1"/>
            </w:rPr>
            <w:t>authorise the choic</w:t>
          </w:r>
          <w:r w:rsidR="00D12082" w:rsidRPr="00B22533">
            <w:rPr>
              <w:rFonts w:ascii="Arial" w:hAnsi="Arial" w:cs="Arial"/>
              <w:bCs/>
              <w:color w:val="000000" w:themeColor="text1"/>
            </w:rPr>
            <w:t>e</w:t>
          </w:r>
          <w:r w:rsidR="00EE45C4" w:rsidRPr="00B22533">
            <w:rPr>
              <w:rFonts w:ascii="Arial" w:hAnsi="Arial" w:cs="Arial"/>
              <w:bCs/>
              <w:color w:val="000000" w:themeColor="text1"/>
            </w:rPr>
            <w:t xml:space="preserve"> of financial institu</w:t>
          </w:r>
          <w:r w:rsidR="00AB3C6C" w:rsidRPr="00B22533">
            <w:rPr>
              <w:rFonts w:ascii="Arial" w:hAnsi="Arial" w:cs="Arial"/>
              <w:bCs/>
              <w:color w:val="000000" w:themeColor="text1"/>
            </w:rPr>
            <w:t>t</w:t>
          </w:r>
          <w:r w:rsidR="00EE45C4" w:rsidRPr="00B22533">
            <w:rPr>
              <w:rFonts w:ascii="Arial" w:hAnsi="Arial" w:cs="Arial"/>
              <w:bCs/>
              <w:color w:val="000000" w:themeColor="text1"/>
            </w:rPr>
            <w:t>io</w:t>
          </w:r>
          <w:r w:rsidR="00D12082" w:rsidRPr="00B22533">
            <w:rPr>
              <w:rFonts w:ascii="Arial" w:hAnsi="Arial" w:cs="Arial"/>
              <w:bCs/>
              <w:color w:val="000000" w:themeColor="text1"/>
            </w:rPr>
            <w:t>n</w:t>
          </w:r>
          <w:r w:rsidR="00EE45C4" w:rsidRPr="00B22533">
            <w:rPr>
              <w:rFonts w:ascii="Arial" w:hAnsi="Arial" w:cs="Arial"/>
              <w:bCs/>
              <w:color w:val="000000" w:themeColor="text1"/>
            </w:rPr>
            <w:t xml:space="preserve"> and opening and closing of accounts in consu</w:t>
          </w:r>
          <w:r w:rsidR="00D12082" w:rsidRPr="00B22533">
            <w:rPr>
              <w:rFonts w:ascii="Arial" w:hAnsi="Arial" w:cs="Arial"/>
              <w:bCs/>
              <w:color w:val="000000" w:themeColor="text1"/>
            </w:rPr>
            <w:t>l</w:t>
          </w:r>
          <w:r w:rsidR="00EE45C4" w:rsidRPr="00B22533">
            <w:rPr>
              <w:rFonts w:ascii="Arial" w:hAnsi="Arial" w:cs="Arial"/>
              <w:bCs/>
              <w:color w:val="000000" w:themeColor="text1"/>
            </w:rPr>
            <w:t>tation with the man</w:t>
          </w:r>
          <w:r w:rsidR="00D12082" w:rsidRPr="00B22533">
            <w:rPr>
              <w:rFonts w:ascii="Arial" w:hAnsi="Arial" w:cs="Arial"/>
              <w:bCs/>
              <w:color w:val="000000" w:themeColor="text1"/>
            </w:rPr>
            <w:t>a</w:t>
          </w:r>
          <w:r w:rsidR="00EE45C4" w:rsidRPr="00B22533">
            <w:rPr>
              <w:rFonts w:ascii="Arial" w:hAnsi="Arial" w:cs="Arial"/>
              <w:bCs/>
              <w:color w:val="000000" w:themeColor="text1"/>
            </w:rPr>
            <w:t>ger and the fina</w:t>
          </w:r>
          <w:r w:rsidR="00AB3C6C" w:rsidRPr="00B22533">
            <w:rPr>
              <w:rFonts w:ascii="Arial" w:hAnsi="Arial" w:cs="Arial"/>
              <w:bCs/>
              <w:color w:val="000000" w:themeColor="text1"/>
            </w:rPr>
            <w:t>n</w:t>
          </w:r>
          <w:r w:rsidR="00EE45C4" w:rsidRPr="00B22533">
            <w:rPr>
              <w:rFonts w:ascii="Arial" w:hAnsi="Arial" w:cs="Arial"/>
              <w:bCs/>
              <w:color w:val="000000" w:themeColor="text1"/>
            </w:rPr>
            <w:t>ce officer.</w:t>
          </w:r>
        </w:p>
        <w:p w14:paraId="7EDC4E8A" w14:textId="1D27C873" w:rsidR="007B1223" w:rsidRPr="00B22533" w:rsidRDefault="007B1223" w:rsidP="007B1223">
          <w:pPr>
            <w:rPr>
              <w:rFonts w:ascii="Arial" w:hAnsi="Arial" w:cs="Arial"/>
              <w:b/>
              <w:bCs/>
              <w:color w:val="000000" w:themeColor="text1"/>
            </w:rPr>
          </w:pPr>
          <w:r w:rsidRPr="00B22533">
            <w:rPr>
              <w:rFonts w:ascii="Arial" w:hAnsi="Arial" w:cs="Arial"/>
              <w:b/>
              <w:bCs/>
              <w:color w:val="000000" w:themeColor="text1"/>
            </w:rPr>
            <w:t>Manager:</w:t>
          </w:r>
        </w:p>
        <w:p w14:paraId="7A3682CA" w14:textId="28D66A8B" w:rsidR="00F84F97" w:rsidRPr="00B22533" w:rsidRDefault="00002768" w:rsidP="007B1223">
          <w:pPr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>Auth</w:t>
          </w:r>
          <w:r w:rsidR="00324C08" w:rsidRPr="00B22533">
            <w:rPr>
              <w:rFonts w:ascii="Arial" w:hAnsi="Arial" w:cs="Arial"/>
              <w:color w:val="000000" w:themeColor="text1"/>
            </w:rPr>
            <w:t>orise transactions</w:t>
          </w:r>
          <w:r w:rsidR="00951D70" w:rsidRPr="00B22533">
            <w:rPr>
              <w:rFonts w:ascii="Arial" w:hAnsi="Arial" w:cs="Arial"/>
              <w:color w:val="000000" w:themeColor="text1"/>
            </w:rPr>
            <w:t xml:space="preserve"> </w:t>
          </w:r>
        </w:p>
        <w:p w14:paraId="44C2100B" w14:textId="42D92418" w:rsidR="00951D70" w:rsidRPr="00B22533" w:rsidRDefault="00951D70" w:rsidP="007B1223">
          <w:pPr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lastRenderedPageBreak/>
            <w:t>Autho</w:t>
          </w:r>
          <w:r w:rsidR="00E00501" w:rsidRPr="00B22533">
            <w:rPr>
              <w:rFonts w:ascii="Arial" w:hAnsi="Arial" w:cs="Arial"/>
              <w:color w:val="000000" w:themeColor="text1"/>
            </w:rPr>
            <w:t>ri</w:t>
          </w:r>
          <w:r w:rsidRPr="00B22533">
            <w:rPr>
              <w:rFonts w:ascii="Arial" w:hAnsi="Arial" w:cs="Arial"/>
              <w:color w:val="000000" w:themeColor="text1"/>
            </w:rPr>
            <w:t>se the opening and closing</w:t>
          </w:r>
          <w:r w:rsidR="0002247F" w:rsidRPr="00B22533">
            <w:rPr>
              <w:rFonts w:ascii="Arial" w:hAnsi="Arial" w:cs="Arial"/>
              <w:color w:val="000000" w:themeColor="text1"/>
            </w:rPr>
            <w:t xml:space="preserve"> of accounts in consultation with</w:t>
          </w:r>
          <w:r w:rsidR="00E00501" w:rsidRPr="00B22533">
            <w:rPr>
              <w:rFonts w:ascii="Arial" w:hAnsi="Arial" w:cs="Arial"/>
              <w:color w:val="000000" w:themeColor="text1"/>
            </w:rPr>
            <w:t xml:space="preserve"> </w:t>
          </w:r>
          <w:r w:rsidR="0002247F" w:rsidRPr="00B22533">
            <w:rPr>
              <w:rFonts w:ascii="Arial" w:hAnsi="Arial" w:cs="Arial"/>
              <w:color w:val="000000" w:themeColor="text1"/>
            </w:rPr>
            <w:t>t</w:t>
          </w:r>
          <w:r w:rsidR="00E00501" w:rsidRPr="00B22533">
            <w:rPr>
              <w:rFonts w:ascii="Arial" w:hAnsi="Arial" w:cs="Arial"/>
              <w:color w:val="000000" w:themeColor="text1"/>
            </w:rPr>
            <w:t>h</w:t>
          </w:r>
          <w:r w:rsidR="0002247F" w:rsidRPr="00B22533">
            <w:rPr>
              <w:rFonts w:ascii="Arial" w:hAnsi="Arial" w:cs="Arial"/>
              <w:color w:val="000000" w:themeColor="text1"/>
            </w:rPr>
            <w:t>e committee</w:t>
          </w:r>
        </w:p>
        <w:p w14:paraId="556C5754" w14:textId="7757B137" w:rsidR="00DE37E0" w:rsidRPr="00B22533" w:rsidRDefault="00DE37E0" w:rsidP="007B1223">
          <w:pPr>
            <w:rPr>
              <w:rFonts w:ascii="Arial" w:hAnsi="Arial" w:cs="Arial"/>
              <w:b/>
              <w:color w:val="000000" w:themeColor="text1"/>
            </w:rPr>
          </w:pPr>
          <w:r w:rsidRPr="00B22533">
            <w:rPr>
              <w:rFonts w:ascii="Arial" w:hAnsi="Arial" w:cs="Arial"/>
              <w:b/>
              <w:color w:val="000000" w:themeColor="text1"/>
            </w:rPr>
            <w:t>Finance Officer</w:t>
          </w:r>
        </w:p>
        <w:p w14:paraId="68F1230F" w14:textId="024AEC94" w:rsidR="00AB3DAB" w:rsidRPr="00B22533" w:rsidRDefault="00AB3DAB" w:rsidP="00DE37E0">
          <w:pPr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 xml:space="preserve">Administration </w:t>
          </w:r>
          <w:r w:rsidR="004C2B18" w:rsidRPr="00B22533">
            <w:rPr>
              <w:rFonts w:ascii="Arial" w:hAnsi="Arial" w:cs="Arial"/>
              <w:color w:val="000000" w:themeColor="text1"/>
            </w:rPr>
            <w:t xml:space="preserve">and authorisation </w:t>
          </w:r>
          <w:r w:rsidRPr="00B22533">
            <w:rPr>
              <w:rFonts w:ascii="Arial" w:hAnsi="Arial" w:cs="Arial"/>
              <w:color w:val="000000" w:themeColor="text1"/>
            </w:rPr>
            <w:t>of all transactions</w:t>
          </w:r>
        </w:p>
        <w:p w14:paraId="7B65676C" w14:textId="726C4039" w:rsidR="00DE37E0" w:rsidRPr="00B22533" w:rsidRDefault="001E32DD" w:rsidP="00DE37E0">
          <w:pPr>
            <w:rPr>
              <w:rFonts w:ascii="Arial" w:hAnsi="Arial" w:cs="Arial"/>
              <w:color w:val="000000" w:themeColor="text1"/>
            </w:rPr>
          </w:pPr>
          <w:r w:rsidRPr="00B22533">
            <w:rPr>
              <w:rFonts w:ascii="Arial" w:hAnsi="Arial" w:cs="Arial"/>
              <w:color w:val="000000" w:themeColor="text1"/>
            </w:rPr>
            <w:t>Ensure</w:t>
          </w:r>
          <w:r w:rsidR="00DE37E0" w:rsidRPr="00B22533">
            <w:rPr>
              <w:rFonts w:ascii="Arial" w:hAnsi="Arial" w:cs="Arial"/>
              <w:color w:val="000000" w:themeColor="text1"/>
            </w:rPr>
            <w:t xml:space="preserve"> bank account signatories </w:t>
          </w:r>
          <w:proofErr w:type="gramStart"/>
          <w:r w:rsidR="00DE37E0" w:rsidRPr="00B22533">
            <w:rPr>
              <w:rFonts w:ascii="Arial" w:hAnsi="Arial" w:cs="Arial"/>
              <w:color w:val="000000" w:themeColor="text1"/>
            </w:rPr>
            <w:t>are up to date at all times</w:t>
          </w:r>
          <w:proofErr w:type="gramEnd"/>
          <w:r w:rsidR="00DE37E0" w:rsidRPr="00B22533">
            <w:rPr>
              <w:rFonts w:ascii="Arial" w:hAnsi="Arial" w:cs="Arial"/>
              <w:color w:val="000000" w:themeColor="text1"/>
            </w:rPr>
            <w:t xml:space="preserve"> and that signatories are removed as soon as their employment or </w:t>
          </w:r>
          <w:r w:rsidR="00324C08" w:rsidRPr="00B22533">
            <w:rPr>
              <w:rFonts w:ascii="Arial" w:hAnsi="Arial" w:cs="Arial"/>
              <w:color w:val="000000" w:themeColor="text1"/>
            </w:rPr>
            <w:t>committee</w:t>
          </w:r>
          <w:r w:rsidR="00DE37E0" w:rsidRPr="00B22533">
            <w:rPr>
              <w:rFonts w:ascii="Arial" w:hAnsi="Arial" w:cs="Arial"/>
              <w:color w:val="000000" w:themeColor="text1"/>
            </w:rPr>
            <w:t xml:space="preserve"> term ends.</w:t>
          </w:r>
        </w:p>
        <w:p w14:paraId="51D4F005" w14:textId="44B277FC" w:rsidR="00C77F04" w:rsidRPr="00B22533" w:rsidRDefault="00962F0D" w:rsidP="0097767C">
          <w:pPr>
            <w:rPr>
              <w:rFonts w:ascii="Arial" w:hAnsi="Arial" w:cs="Arial"/>
              <w:color w:val="000000" w:themeColor="text1"/>
            </w:rPr>
          </w:pPr>
        </w:p>
      </w:sdtContent>
    </w:sdt>
    <w:p w14:paraId="513704DD" w14:textId="258B20DB" w:rsidR="00A8782E" w:rsidRPr="00B22533" w:rsidRDefault="00A8782E" w:rsidP="00A8782E">
      <w:pPr>
        <w:rPr>
          <w:rFonts w:ascii="Arial" w:hAnsi="Arial" w:cs="Arial"/>
          <w:color w:val="000000" w:themeColor="text1"/>
        </w:rPr>
      </w:pPr>
    </w:p>
    <w:sectPr w:rsidR="00A8782E" w:rsidRPr="00B22533" w:rsidSect="00F27797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40" w:right="1080" w:bottom="1440" w:left="1080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7DAC" w14:textId="77777777" w:rsidR="00B2793D" w:rsidRDefault="00B2793D">
      <w:pPr>
        <w:spacing w:after="0" w:line="240" w:lineRule="auto"/>
      </w:pPr>
      <w:r>
        <w:separator/>
      </w:r>
    </w:p>
  </w:endnote>
  <w:endnote w:type="continuationSeparator" w:id="0">
    <w:p w14:paraId="3AB01A14" w14:textId="77777777" w:rsidR="00B2793D" w:rsidRDefault="00B2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55B" w14:textId="77777777" w:rsidR="0022349E" w:rsidRDefault="0022349E">
    <w:pPr>
      <w:jc w:val="right"/>
    </w:pPr>
  </w:p>
  <w:p w14:paraId="4DF1FD0A" w14:textId="77777777" w:rsidR="0022349E" w:rsidRDefault="0022349E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E68422" w:themeColor="accent3"/>
      </w:rPr>
      <w:sym w:font="Wingdings 2" w:char="F097"/>
    </w:r>
    <w:r>
      <w:t xml:space="preserve"> </w:t>
    </w:r>
  </w:p>
  <w:p w14:paraId="57853F53" w14:textId="77777777" w:rsidR="0022349E" w:rsidRDefault="0022349E">
    <w:pPr>
      <w:jc w:val="right"/>
    </w:pPr>
    <w:r>
      <w:rPr>
        <w:noProof/>
        <w:lang w:val="en-AU" w:eastAsia="en-AU"/>
      </w:rPr>
      <mc:AlternateContent>
        <mc:Choice Requires="wpg">
          <w:drawing>
            <wp:inline distT="0" distB="0" distL="0" distR="0" wp14:anchorId="512DE9A0" wp14:editId="69688780">
              <wp:extent cx="2327910" cy="45085"/>
              <wp:effectExtent l="9525" t="9525" r="15240" b="12065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D2B0040" id="Grou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2DDB3310" w14:textId="77777777" w:rsidR="0022349E" w:rsidRDefault="0022349E">
    <w:pPr>
      <w:pStyle w:val="NoSpacing"/>
      <w:rPr>
        <w:sz w:val="2"/>
        <w:szCs w:val="2"/>
      </w:rPr>
    </w:pPr>
  </w:p>
  <w:p w14:paraId="4D42B378" w14:textId="77777777" w:rsidR="0022349E" w:rsidRDefault="0022349E"/>
  <w:p w14:paraId="12EBE773" w14:textId="77777777" w:rsidR="0022349E" w:rsidRDefault="0022349E"/>
  <w:p w14:paraId="7F1AECFB" w14:textId="77777777" w:rsidR="0022349E" w:rsidRDefault="002234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C1C0" w14:textId="77777777" w:rsidR="000624B8" w:rsidRDefault="000624B8" w:rsidP="00A54C50">
    <w:pPr>
      <w:spacing w:after="0" w:line="240" w:lineRule="auto"/>
      <w:rPr>
        <w:color w:val="404040" w:themeColor="text1" w:themeTint="BF"/>
      </w:rPr>
    </w:pPr>
  </w:p>
  <w:p w14:paraId="0F5CE395" w14:textId="77777777" w:rsidR="000624B8" w:rsidRDefault="000624B8" w:rsidP="00A54C50">
    <w:pPr>
      <w:spacing w:after="0" w:line="240" w:lineRule="auto"/>
      <w:rPr>
        <w:color w:val="404040" w:themeColor="text1" w:themeTint="BF"/>
      </w:rPr>
    </w:pPr>
  </w:p>
  <w:p w14:paraId="432BD17B" w14:textId="4CD86B79" w:rsidR="00A54C50" w:rsidRPr="00B43E08" w:rsidRDefault="00A54C50" w:rsidP="00A54C50">
    <w:pPr>
      <w:spacing w:after="0" w:line="240" w:lineRule="auto"/>
      <w:rPr>
        <w:rFonts w:ascii="Arial" w:hAnsi="Arial" w:cs="Arial"/>
        <w:color w:val="404040" w:themeColor="text1" w:themeTint="BF"/>
      </w:rPr>
    </w:pPr>
    <w:r w:rsidRPr="00B43E08">
      <w:rPr>
        <w:rFonts w:ascii="Arial" w:hAnsi="Arial" w:cs="Arial"/>
        <w:color w:val="404040" w:themeColor="text1" w:themeTint="BF"/>
      </w:rPr>
      <w:t xml:space="preserve">Sample </w:t>
    </w:r>
    <w:r w:rsidR="00570CAA" w:rsidRPr="00B43E08">
      <w:rPr>
        <w:rFonts w:ascii="Arial" w:hAnsi="Arial" w:cs="Arial"/>
        <w:color w:val="404040" w:themeColor="text1" w:themeTint="BF"/>
      </w:rPr>
      <w:t>Banking</w:t>
    </w:r>
    <w:r w:rsidRPr="00B43E08">
      <w:rPr>
        <w:rFonts w:ascii="Arial" w:hAnsi="Arial" w:cs="Arial"/>
        <w:color w:val="404040" w:themeColor="text1" w:themeTint="BF"/>
      </w:rPr>
      <w:t xml:space="preserve"> Policy</w:t>
    </w:r>
  </w:p>
  <w:p w14:paraId="0310256B" w14:textId="7894016D" w:rsidR="00A54C50" w:rsidRPr="00B43E08" w:rsidRDefault="00A54C50" w:rsidP="00214AAE">
    <w:pPr>
      <w:tabs>
        <w:tab w:val="left" w:pos="720"/>
        <w:tab w:val="left" w:pos="1440"/>
        <w:tab w:val="left" w:pos="2160"/>
        <w:tab w:val="left" w:pos="3600"/>
      </w:tabs>
      <w:spacing w:after="0" w:line="240" w:lineRule="auto"/>
      <w:rPr>
        <w:rFonts w:ascii="Arial" w:hAnsi="Arial" w:cs="Arial"/>
        <w:color w:val="404040" w:themeColor="text1" w:themeTint="BF"/>
      </w:rPr>
    </w:pPr>
    <w:r w:rsidRPr="00B43E08">
      <w:rPr>
        <w:rFonts w:ascii="Arial" w:hAnsi="Arial" w:cs="Arial"/>
        <w:color w:val="404040" w:themeColor="text1" w:themeTint="BF"/>
      </w:rPr>
      <w:t xml:space="preserve">Version: </w:t>
    </w:r>
    <w:r w:rsidRPr="00B43E08">
      <w:rPr>
        <w:rFonts w:ascii="Arial" w:hAnsi="Arial" w:cs="Arial"/>
        <w:color w:val="404040" w:themeColor="text1" w:themeTint="BF"/>
      </w:rPr>
      <w:tab/>
      <w:t>Date:</w:t>
    </w:r>
    <w:r w:rsidR="00214AAE" w:rsidRPr="00B43E08">
      <w:rPr>
        <w:rFonts w:ascii="Arial" w:hAnsi="Arial" w:cs="Arial"/>
        <w:color w:val="404040" w:themeColor="text1" w:themeTint="BF"/>
      </w:rPr>
      <w:tab/>
    </w:r>
    <w:r w:rsidR="00214AAE" w:rsidRPr="00B43E08">
      <w:rPr>
        <w:rFonts w:ascii="Arial" w:hAnsi="Arial" w:cs="Arial"/>
        <w:color w:val="404040" w:themeColor="text1" w:themeTint="BF"/>
      </w:rPr>
      <w:tab/>
    </w:r>
  </w:p>
  <w:p w14:paraId="744F998F" w14:textId="41F30C42" w:rsidR="0022349E" w:rsidRPr="00A54C50" w:rsidRDefault="0022349E" w:rsidP="00996447">
    <w:pPr>
      <w:jc w:val="right"/>
      <w:rPr>
        <w:b/>
      </w:rPr>
    </w:pPr>
    <w:r w:rsidRPr="00A54C50">
      <w:rPr>
        <w:b/>
      </w:rPr>
      <w:fldChar w:fldCharType="begin"/>
    </w:r>
    <w:r w:rsidRPr="00A54C50">
      <w:rPr>
        <w:b/>
      </w:rPr>
      <w:instrText xml:space="preserve"> PAGE  \* Arabic  \* MERGEFORMAT </w:instrText>
    </w:r>
    <w:r w:rsidRPr="00A54C50">
      <w:rPr>
        <w:b/>
      </w:rPr>
      <w:fldChar w:fldCharType="separate"/>
    </w:r>
    <w:r w:rsidR="008E493E">
      <w:rPr>
        <w:b/>
        <w:noProof/>
      </w:rPr>
      <w:t>2</w:t>
    </w:r>
    <w:r w:rsidRPr="00A54C50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CC1E" w14:textId="77777777" w:rsidR="0022349E" w:rsidRPr="00B22533" w:rsidRDefault="0022349E" w:rsidP="000728AF">
    <w:pPr>
      <w:pStyle w:val="Footer"/>
      <w:spacing w:after="120"/>
      <w:jc w:val="right"/>
      <w:rPr>
        <w:rFonts w:ascii="Arial" w:hAnsi="Arial" w:cs="Arial"/>
        <w:b/>
        <w:color w:val="0070C0"/>
        <w:sz w:val="22"/>
      </w:rPr>
    </w:pPr>
    <w:r w:rsidRPr="00B22533">
      <w:rPr>
        <w:rFonts w:ascii="Arial" w:hAnsi="Arial" w:cs="Arial"/>
        <w:b/>
        <w:noProof/>
        <w:color w:val="0070C0"/>
        <w:sz w:val="22"/>
        <w:lang w:val="en-AU" w:eastAsia="en-AU"/>
      </w:rPr>
      <mc:AlternateContent>
        <mc:Choice Requires="wps">
          <w:drawing>
            <wp:anchor distT="0" distB="0" distL="114300" distR="114300" simplePos="0" relativeHeight="251638272" behindDoc="0" locked="0" layoutInCell="1" allowOverlap="1" wp14:anchorId="455090AB" wp14:editId="6D30D9D3">
              <wp:simplePos x="0" y="0"/>
              <wp:positionH relativeFrom="column">
                <wp:posOffset>-8915400</wp:posOffset>
              </wp:positionH>
              <wp:positionV relativeFrom="paragraph">
                <wp:posOffset>206196</wp:posOffset>
              </wp:positionV>
              <wp:extent cx="16047076" cy="8300"/>
              <wp:effectExtent l="0" t="0" r="31750" b="2984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047076" cy="83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70E381" id="Line 13" o:spid="_x0000_s1026" style="position:absolute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2pt,16.25pt" to="561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" strokecolor="#404040 [2429]" strokeweight=".5pt"/>
          </w:pict>
        </mc:Fallback>
      </mc:AlternateContent>
    </w:r>
    <w:r w:rsidRPr="00B22533">
      <w:rPr>
        <w:rStyle w:val="Footerboldblue"/>
        <w:rFonts w:cs="Arial"/>
        <w:color w:val="0070C0"/>
        <w:sz w:val="22"/>
      </w:rPr>
      <w:t>Neighbourhood Houses Victoria Inc</w:t>
    </w:r>
  </w:p>
  <w:p w14:paraId="79A58AC3" w14:textId="5FE22EF6" w:rsidR="0022349E" w:rsidRPr="00B22533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B22533">
      <w:rPr>
        <w:rFonts w:ascii="Arial" w:hAnsi="Arial" w:cs="Arial"/>
        <w:color w:val="0070C0"/>
        <w:sz w:val="22"/>
      </w:rPr>
      <w:t>Shop B41, Level 4, 744 Bourke Street, Docklands VIC 3008</w:t>
    </w:r>
  </w:p>
  <w:p w14:paraId="5EC96262" w14:textId="53C1BCBB" w:rsidR="0022349E" w:rsidRPr="00B22533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B22533">
      <w:rPr>
        <w:rFonts w:ascii="Arial" w:hAnsi="Arial" w:cs="Arial"/>
        <w:color w:val="0070C0"/>
        <w:sz w:val="22"/>
      </w:rPr>
      <w:t xml:space="preserve"> (03) 9602 1228  |  info@nhvic.org.au  |  </w:t>
    </w:r>
    <w:r w:rsidR="00117C79" w:rsidRPr="00B22533">
      <w:rPr>
        <w:rFonts w:ascii="Arial" w:hAnsi="Arial" w:cs="Arial"/>
        <w:color w:val="0070C0"/>
        <w:sz w:val="22"/>
      </w:rPr>
      <w:t>nhvic.org.au</w:t>
    </w:r>
  </w:p>
  <w:p w14:paraId="7A870D1F" w14:textId="7E84AE5D" w:rsidR="0022349E" w:rsidRPr="00B22533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B22533">
      <w:rPr>
        <w:rFonts w:ascii="Arial" w:hAnsi="Arial" w:cs="Arial"/>
        <w:color w:val="0070C0"/>
        <w:sz w:val="22"/>
      </w:rPr>
      <w:t>ACN A0001368L  ABN 30 174 498 896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4559" w14:textId="77777777" w:rsidR="00B2793D" w:rsidRDefault="00B2793D">
      <w:pPr>
        <w:spacing w:after="0" w:line="240" w:lineRule="auto"/>
      </w:pPr>
      <w:r>
        <w:separator/>
      </w:r>
    </w:p>
  </w:footnote>
  <w:footnote w:type="continuationSeparator" w:id="0">
    <w:p w14:paraId="0077123B" w14:textId="77777777" w:rsidR="00B2793D" w:rsidRDefault="00B27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5B54" w14:textId="77777777" w:rsidR="0022349E" w:rsidRDefault="0022349E" w:rsidP="00A27E93">
    <w:pPr>
      <w:spacing w:after="0"/>
      <w:jc w:val="center"/>
      <w:rPr>
        <w:color w:val="E4E9EF" w:themeColor="background2"/>
      </w:rPr>
    </w:pPr>
  </w:p>
  <w:p w14:paraId="5DF8FDB1" w14:textId="2BA10866" w:rsidR="0022349E" w:rsidRPr="00A54C50" w:rsidRDefault="0022349E" w:rsidP="00052134">
    <w:pPr>
      <w:spacing w:after="0" w:line="240" w:lineRule="auto"/>
      <w:jc w:val="right"/>
      <w:rPr>
        <w:color w:val="404040" w:themeColor="text1" w:themeTint="BF"/>
      </w:rPr>
    </w:pPr>
  </w:p>
  <w:p w14:paraId="3BE767CE" w14:textId="77777777" w:rsidR="0022349E" w:rsidRPr="00A54C50" w:rsidRDefault="0022349E" w:rsidP="00A27E93">
    <w:pPr>
      <w:spacing w:after="0"/>
      <w:rPr>
        <w:color w:val="404040" w:themeColor="text1" w:themeTint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740"/>
    <w:multiLevelType w:val="hybridMultilevel"/>
    <w:tmpl w:val="4BBE3F38"/>
    <w:lvl w:ilvl="0" w:tplc="0C090001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851D5"/>
    <w:multiLevelType w:val="hybridMultilevel"/>
    <w:tmpl w:val="44DC2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C2328"/>
    <w:multiLevelType w:val="hybridMultilevel"/>
    <w:tmpl w:val="F7901B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F2F12"/>
    <w:multiLevelType w:val="hybridMultilevel"/>
    <w:tmpl w:val="BCCA3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A0637"/>
    <w:multiLevelType w:val="hybridMultilevel"/>
    <w:tmpl w:val="8B6C3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65C3C"/>
    <w:multiLevelType w:val="hybridMultilevel"/>
    <w:tmpl w:val="578CF76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2475F1F"/>
    <w:multiLevelType w:val="hybridMultilevel"/>
    <w:tmpl w:val="C1BE1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48222">
    <w:abstractNumId w:val="11"/>
  </w:num>
  <w:num w:numId="2" w16cid:durableId="359204258">
    <w:abstractNumId w:val="14"/>
  </w:num>
  <w:num w:numId="3" w16cid:durableId="1988320196">
    <w:abstractNumId w:val="4"/>
  </w:num>
  <w:num w:numId="4" w16cid:durableId="2061048406">
    <w:abstractNumId w:val="13"/>
  </w:num>
  <w:num w:numId="5" w16cid:durableId="1810172669">
    <w:abstractNumId w:val="5"/>
  </w:num>
  <w:num w:numId="6" w16cid:durableId="1645771797">
    <w:abstractNumId w:val="8"/>
  </w:num>
  <w:num w:numId="7" w16cid:durableId="560024452">
    <w:abstractNumId w:val="10"/>
  </w:num>
  <w:num w:numId="8" w16cid:durableId="619384405">
    <w:abstractNumId w:val="0"/>
  </w:num>
  <w:num w:numId="9" w16cid:durableId="1920677348">
    <w:abstractNumId w:val="1"/>
  </w:num>
  <w:num w:numId="10" w16cid:durableId="819267563">
    <w:abstractNumId w:val="9"/>
  </w:num>
  <w:num w:numId="11" w16cid:durableId="557935262">
    <w:abstractNumId w:val="6"/>
  </w:num>
  <w:num w:numId="12" w16cid:durableId="781801626">
    <w:abstractNumId w:val="3"/>
  </w:num>
  <w:num w:numId="13" w16cid:durableId="889651203">
    <w:abstractNumId w:val="12"/>
  </w:num>
  <w:num w:numId="14" w16cid:durableId="1428379071">
    <w:abstractNumId w:val="7"/>
  </w:num>
  <w:num w:numId="15" w16cid:durableId="1576747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A8"/>
    <w:rsid w:val="00002768"/>
    <w:rsid w:val="00014240"/>
    <w:rsid w:val="000144EC"/>
    <w:rsid w:val="00016B57"/>
    <w:rsid w:val="0002247F"/>
    <w:rsid w:val="00052134"/>
    <w:rsid w:val="000624B8"/>
    <w:rsid w:val="00064DF4"/>
    <w:rsid w:val="000728AF"/>
    <w:rsid w:val="00084E5A"/>
    <w:rsid w:val="00093CF0"/>
    <w:rsid w:val="000B1D15"/>
    <w:rsid w:val="000B5429"/>
    <w:rsid w:val="000D72AF"/>
    <w:rsid w:val="000E235A"/>
    <w:rsid w:val="000F3C26"/>
    <w:rsid w:val="00115A84"/>
    <w:rsid w:val="00117C79"/>
    <w:rsid w:val="00127D44"/>
    <w:rsid w:val="0013441E"/>
    <w:rsid w:val="00134685"/>
    <w:rsid w:val="0016144C"/>
    <w:rsid w:val="00162B5D"/>
    <w:rsid w:val="00163C93"/>
    <w:rsid w:val="001805DC"/>
    <w:rsid w:val="001A57E2"/>
    <w:rsid w:val="001B4833"/>
    <w:rsid w:val="001C0B11"/>
    <w:rsid w:val="001C34C5"/>
    <w:rsid w:val="001E32DD"/>
    <w:rsid w:val="001F3552"/>
    <w:rsid w:val="0020386F"/>
    <w:rsid w:val="0020720E"/>
    <w:rsid w:val="00214AAE"/>
    <w:rsid w:val="0022349E"/>
    <w:rsid w:val="002242ED"/>
    <w:rsid w:val="002331A6"/>
    <w:rsid w:val="002616EE"/>
    <w:rsid w:val="00263E30"/>
    <w:rsid w:val="002D21F9"/>
    <w:rsid w:val="002D3ECD"/>
    <w:rsid w:val="002E20A6"/>
    <w:rsid w:val="002E3A31"/>
    <w:rsid w:val="002F08B1"/>
    <w:rsid w:val="002F597E"/>
    <w:rsid w:val="0031266F"/>
    <w:rsid w:val="00324C08"/>
    <w:rsid w:val="00331D20"/>
    <w:rsid w:val="00331F34"/>
    <w:rsid w:val="0033436C"/>
    <w:rsid w:val="00340D61"/>
    <w:rsid w:val="00341457"/>
    <w:rsid w:val="003435DE"/>
    <w:rsid w:val="00354C14"/>
    <w:rsid w:val="003572A6"/>
    <w:rsid w:val="003707D8"/>
    <w:rsid w:val="00384A47"/>
    <w:rsid w:val="00396BAB"/>
    <w:rsid w:val="003A4EDD"/>
    <w:rsid w:val="003A50D8"/>
    <w:rsid w:val="003E6058"/>
    <w:rsid w:val="00415A04"/>
    <w:rsid w:val="004214F0"/>
    <w:rsid w:val="0042595B"/>
    <w:rsid w:val="00426484"/>
    <w:rsid w:val="00436DD8"/>
    <w:rsid w:val="00440EB2"/>
    <w:rsid w:val="00442AA2"/>
    <w:rsid w:val="00444A84"/>
    <w:rsid w:val="00446930"/>
    <w:rsid w:val="004531E6"/>
    <w:rsid w:val="004714BD"/>
    <w:rsid w:val="00480C5B"/>
    <w:rsid w:val="004A613A"/>
    <w:rsid w:val="004C2B18"/>
    <w:rsid w:val="004C6247"/>
    <w:rsid w:val="004D46D3"/>
    <w:rsid w:val="004E35D4"/>
    <w:rsid w:val="005020A2"/>
    <w:rsid w:val="00503F25"/>
    <w:rsid w:val="0050596D"/>
    <w:rsid w:val="00506212"/>
    <w:rsid w:val="00516029"/>
    <w:rsid w:val="00540E71"/>
    <w:rsid w:val="00570CAA"/>
    <w:rsid w:val="005755D9"/>
    <w:rsid w:val="005A073E"/>
    <w:rsid w:val="005A5107"/>
    <w:rsid w:val="005B4C0F"/>
    <w:rsid w:val="005D3A98"/>
    <w:rsid w:val="005E2811"/>
    <w:rsid w:val="005E2FB9"/>
    <w:rsid w:val="005F4086"/>
    <w:rsid w:val="00604012"/>
    <w:rsid w:val="006050A9"/>
    <w:rsid w:val="00616BD9"/>
    <w:rsid w:val="00620BC3"/>
    <w:rsid w:val="00624C59"/>
    <w:rsid w:val="00634647"/>
    <w:rsid w:val="00662B08"/>
    <w:rsid w:val="00667665"/>
    <w:rsid w:val="006824AA"/>
    <w:rsid w:val="00682A1F"/>
    <w:rsid w:val="006A4694"/>
    <w:rsid w:val="006B4F9D"/>
    <w:rsid w:val="006C1EE8"/>
    <w:rsid w:val="006C2C0F"/>
    <w:rsid w:val="006C54CA"/>
    <w:rsid w:val="006D75BA"/>
    <w:rsid w:val="006E2DB0"/>
    <w:rsid w:val="006F6394"/>
    <w:rsid w:val="00702075"/>
    <w:rsid w:val="0070327F"/>
    <w:rsid w:val="00723FC9"/>
    <w:rsid w:val="00734E09"/>
    <w:rsid w:val="007436AB"/>
    <w:rsid w:val="007652A2"/>
    <w:rsid w:val="007675A0"/>
    <w:rsid w:val="00772D54"/>
    <w:rsid w:val="007A19BD"/>
    <w:rsid w:val="007A4858"/>
    <w:rsid w:val="007B07DD"/>
    <w:rsid w:val="007B0A6A"/>
    <w:rsid w:val="007B1223"/>
    <w:rsid w:val="007D2603"/>
    <w:rsid w:val="007D3E46"/>
    <w:rsid w:val="007F131F"/>
    <w:rsid w:val="007F1486"/>
    <w:rsid w:val="0080090D"/>
    <w:rsid w:val="0080337F"/>
    <w:rsid w:val="00812E9A"/>
    <w:rsid w:val="00830B13"/>
    <w:rsid w:val="0083149D"/>
    <w:rsid w:val="008353B4"/>
    <w:rsid w:val="00836A26"/>
    <w:rsid w:val="00836B18"/>
    <w:rsid w:val="0084548B"/>
    <w:rsid w:val="00847A01"/>
    <w:rsid w:val="00870176"/>
    <w:rsid w:val="00876BC2"/>
    <w:rsid w:val="00890E3A"/>
    <w:rsid w:val="008968A9"/>
    <w:rsid w:val="008A0263"/>
    <w:rsid w:val="008B4E60"/>
    <w:rsid w:val="008C497C"/>
    <w:rsid w:val="008E20DC"/>
    <w:rsid w:val="008E493E"/>
    <w:rsid w:val="00921D75"/>
    <w:rsid w:val="009221FC"/>
    <w:rsid w:val="00923F50"/>
    <w:rsid w:val="00951D70"/>
    <w:rsid w:val="00962F0D"/>
    <w:rsid w:val="00975503"/>
    <w:rsid w:val="0097767C"/>
    <w:rsid w:val="00977BEB"/>
    <w:rsid w:val="00993366"/>
    <w:rsid w:val="00996447"/>
    <w:rsid w:val="009A2776"/>
    <w:rsid w:val="009B5117"/>
    <w:rsid w:val="009F3E7B"/>
    <w:rsid w:val="009F6653"/>
    <w:rsid w:val="009F71C2"/>
    <w:rsid w:val="00A26DD4"/>
    <w:rsid w:val="00A27E93"/>
    <w:rsid w:val="00A41783"/>
    <w:rsid w:val="00A41A23"/>
    <w:rsid w:val="00A54C50"/>
    <w:rsid w:val="00A8782E"/>
    <w:rsid w:val="00AA18F6"/>
    <w:rsid w:val="00AA777A"/>
    <w:rsid w:val="00AB3C6C"/>
    <w:rsid w:val="00AB3DAB"/>
    <w:rsid w:val="00AB7D5B"/>
    <w:rsid w:val="00AC4941"/>
    <w:rsid w:val="00AF4E9F"/>
    <w:rsid w:val="00B00AC1"/>
    <w:rsid w:val="00B17438"/>
    <w:rsid w:val="00B21320"/>
    <w:rsid w:val="00B22533"/>
    <w:rsid w:val="00B2793D"/>
    <w:rsid w:val="00B36ED9"/>
    <w:rsid w:val="00B40D9B"/>
    <w:rsid w:val="00B43E08"/>
    <w:rsid w:val="00B4736C"/>
    <w:rsid w:val="00B62205"/>
    <w:rsid w:val="00B66AFC"/>
    <w:rsid w:val="00B86603"/>
    <w:rsid w:val="00B869BE"/>
    <w:rsid w:val="00B91A11"/>
    <w:rsid w:val="00B9732E"/>
    <w:rsid w:val="00BB6763"/>
    <w:rsid w:val="00BB7DA8"/>
    <w:rsid w:val="00BF058A"/>
    <w:rsid w:val="00BF33D2"/>
    <w:rsid w:val="00C00275"/>
    <w:rsid w:val="00C00981"/>
    <w:rsid w:val="00C01FE3"/>
    <w:rsid w:val="00C061BF"/>
    <w:rsid w:val="00C175ED"/>
    <w:rsid w:val="00C32DC5"/>
    <w:rsid w:val="00C566D8"/>
    <w:rsid w:val="00C77F04"/>
    <w:rsid w:val="00C80645"/>
    <w:rsid w:val="00C82A42"/>
    <w:rsid w:val="00C9644E"/>
    <w:rsid w:val="00CA7479"/>
    <w:rsid w:val="00CB1EDC"/>
    <w:rsid w:val="00CB60A0"/>
    <w:rsid w:val="00CC32D8"/>
    <w:rsid w:val="00CC3FDC"/>
    <w:rsid w:val="00CD08E0"/>
    <w:rsid w:val="00CD192E"/>
    <w:rsid w:val="00CE6189"/>
    <w:rsid w:val="00CF5C25"/>
    <w:rsid w:val="00D12082"/>
    <w:rsid w:val="00D20C20"/>
    <w:rsid w:val="00D22A25"/>
    <w:rsid w:val="00D35833"/>
    <w:rsid w:val="00D45A8B"/>
    <w:rsid w:val="00D661A8"/>
    <w:rsid w:val="00D723A7"/>
    <w:rsid w:val="00D85B2B"/>
    <w:rsid w:val="00D86118"/>
    <w:rsid w:val="00D96A0B"/>
    <w:rsid w:val="00DA3F54"/>
    <w:rsid w:val="00DA5E53"/>
    <w:rsid w:val="00DB7FA3"/>
    <w:rsid w:val="00DC5A7F"/>
    <w:rsid w:val="00DD426F"/>
    <w:rsid w:val="00DE37E0"/>
    <w:rsid w:val="00DF7330"/>
    <w:rsid w:val="00E00501"/>
    <w:rsid w:val="00E03121"/>
    <w:rsid w:val="00E074AF"/>
    <w:rsid w:val="00E14183"/>
    <w:rsid w:val="00E22E52"/>
    <w:rsid w:val="00E717D9"/>
    <w:rsid w:val="00E8403F"/>
    <w:rsid w:val="00EB6396"/>
    <w:rsid w:val="00EC463D"/>
    <w:rsid w:val="00EC4839"/>
    <w:rsid w:val="00EC6D5E"/>
    <w:rsid w:val="00ED1968"/>
    <w:rsid w:val="00EE45C4"/>
    <w:rsid w:val="00EE6CE3"/>
    <w:rsid w:val="00EF032B"/>
    <w:rsid w:val="00F02C4C"/>
    <w:rsid w:val="00F050D4"/>
    <w:rsid w:val="00F27797"/>
    <w:rsid w:val="00F43648"/>
    <w:rsid w:val="00F44750"/>
    <w:rsid w:val="00F6684C"/>
    <w:rsid w:val="00F81722"/>
    <w:rsid w:val="00F84F97"/>
    <w:rsid w:val="00FA2ED1"/>
    <w:rsid w:val="00FB0C58"/>
    <w:rsid w:val="00FC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82995F5"/>
  <w15:docId w15:val="{6A1D2974-CD3F-4E54-BE58-DF50C77B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0D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6212"/>
    <w:pPr>
      <w:keepNext/>
      <w:keepLines/>
      <w:spacing w:before="480" w:after="240" w:line="240" w:lineRule="auto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212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eastAsiaTheme="majorEastAsia" w:cstheme="majorBidi"/>
      <w:bCs/>
      <w:i/>
      <w:iCs/>
      <w:color w:val="2F5897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eastAsiaTheme="majorEastAsia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spacing w:val="5"/>
      <w:kern w:val="28"/>
      <w:sz w:val="60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oterboldblue">
    <w:name w:val="Footer bold blue"/>
    <w:rsid w:val="00426484"/>
    <w:rPr>
      <w:rFonts w:ascii="Arial" w:hAnsi="Arial"/>
      <w:b/>
      <w:noProof/>
      <w:color w:val="0F80CC"/>
      <w:sz w:val="20"/>
      <w:lang w:val="en-US"/>
    </w:rPr>
  </w:style>
  <w:style w:type="character" w:customStyle="1" w:styleId="Footerboldorange">
    <w:name w:val="Footer bold orange"/>
    <w:basedOn w:val="DefaultParagraphFont"/>
    <w:rsid w:val="00426484"/>
    <w:rPr>
      <w:rFonts w:ascii="Arial" w:hAnsi="Arial"/>
      <w:b/>
      <w:noProof/>
      <w:color w:val="F46F1B"/>
      <w:sz w:val="20"/>
      <w:lang w:val="en-US"/>
    </w:rPr>
  </w:style>
  <w:style w:type="paragraph" w:customStyle="1" w:styleId="Footerblue">
    <w:name w:val="Footer blue"/>
    <w:basedOn w:val="Footer"/>
    <w:rsid w:val="00426484"/>
    <w:pPr>
      <w:tabs>
        <w:tab w:val="clear" w:pos="4680"/>
        <w:tab w:val="clear" w:pos="9360"/>
        <w:tab w:val="center" w:pos="4320"/>
        <w:tab w:val="right" w:pos="8640"/>
      </w:tabs>
      <w:spacing w:line="276" w:lineRule="auto"/>
      <w:jc w:val="center"/>
    </w:pPr>
    <w:rPr>
      <w:rFonts w:eastAsiaTheme="minorHAnsi"/>
      <w:noProof/>
      <w:color w:val="0F80CC"/>
    </w:rPr>
  </w:style>
  <w:style w:type="table" w:styleId="TableGrid">
    <w:name w:val="Table Grid"/>
    <w:basedOn w:val="TableNormal"/>
    <w:uiPriority w:val="5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  <w:style w:type="paragraph" w:styleId="BodyText">
    <w:name w:val="Body Text"/>
    <w:basedOn w:val="Normal"/>
    <w:link w:val="BodyTextChar"/>
    <w:rsid w:val="004214F0"/>
    <w:pPr>
      <w:spacing w:after="0" w:line="240" w:lineRule="auto"/>
    </w:pPr>
    <w:rPr>
      <w:rFonts w:ascii="Arial" w:eastAsia="Times New Roman" w:hAnsi="Arial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4214F0"/>
    <w:rPr>
      <w:rFonts w:ascii="Arial" w:eastAsia="Times New Roman" w:hAnsi="Arial" w:cs="Times New Roman"/>
      <w:sz w:val="32"/>
      <w:szCs w:val="20"/>
    </w:rPr>
  </w:style>
  <w:style w:type="paragraph" w:styleId="NormalWeb">
    <w:name w:val="Normal (Web)"/>
    <w:basedOn w:val="Normal"/>
    <w:rsid w:val="0042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14F0"/>
    <w:rPr>
      <w:color w:val="B2B2B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24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55be08-b5d3-4f13-b158-bf089314da1c">
      <UserInfo>
        <DisplayName>Karen Washfold</DisplayName>
        <AccountId>26</AccountId>
        <AccountType/>
      </UserInfo>
      <UserInfo>
        <DisplayName>Petro Tsalikis</DisplayName>
        <AccountId>30</AccountId>
        <AccountType/>
      </UserInfo>
      <UserInfo>
        <DisplayName>Cameron Macrae</DisplayName>
        <AccountId>28</AccountId>
        <AccountType/>
      </UserInfo>
    </SharedWithUsers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76D1E-3FA8-41E3-AB94-B2EDA3016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7D018C3D-F43A-4529-B0B2-EA04E4E4E5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029479-C75F-4099-94F2-02E02CF13D48}">
  <ds:schemaRefs>
    <ds:schemaRef ds:uri="6855be08-b5d3-4f13-b158-bf089314da1c"/>
    <ds:schemaRef ds:uri="4a608fb1-d712-4741-a093-97c1cfcb0f59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683f366c-05fb-4be4-9334-79ee91b37a6e"/>
    <ds:schemaRef ds:uri="2b102171-2659-46a1-9f74-81a4bcf42816"/>
  </ds:schemaRefs>
</ds:datastoreItem>
</file>

<file path=customXml/itemProps5.xml><?xml version="1.0" encoding="utf-8"?>
<ds:datastoreItem xmlns:ds="http://schemas.openxmlformats.org/officeDocument/2006/customXml" ds:itemID="{65CCB212-A93A-4397-9680-DCB923E5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NHVic CEO Report</vt:lpstr>
    </vt:vector>
  </TitlesOfParts>
  <Company>Microsoft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NHVic CEO Report</dc:title>
  <dc:subject>May 2018</dc:subject>
  <dc:creator>Petro Tsalikis</dc:creator>
  <cp:lastModifiedBy>Brittany Prentice</cp:lastModifiedBy>
  <cp:revision>7</cp:revision>
  <cp:lastPrinted>2018-08-29T01:35:00Z</cp:lastPrinted>
  <dcterms:created xsi:type="dcterms:W3CDTF">2019-07-16T00:30:00Z</dcterms:created>
  <dcterms:modified xsi:type="dcterms:W3CDTF">2025-06-12T03:05:00Z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AuthorIds_UIVersion_512">
    <vt:lpwstr>35</vt:lpwstr>
  </property>
  <property fmtid="{D5CDD505-2E9C-101B-9397-08002B2CF9AE}" pid="4" name="MediaServiceImageTags">
    <vt:lpwstr/>
  </property>
</Properties>
</file>